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2FDDD" w14:textId="77777777" w:rsidR="00B07EC9" w:rsidRPr="00BE17B2" w:rsidRDefault="00B07EC9" w:rsidP="00BE17B2">
      <w:pPr>
        <w:pStyle w:val="Heading11"/>
        <w:widowControl/>
        <w:suppressAutoHyphens/>
        <w:spacing w:after="0"/>
        <w:jc w:val="both"/>
        <w:outlineLvl w:val="9"/>
        <w:rPr>
          <w:rFonts w:ascii="Verdana" w:hAnsi="Verdana"/>
          <w:b/>
          <w:sz w:val="32"/>
        </w:rPr>
      </w:pPr>
      <w:r w:rsidRPr="00BE17B2">
        <w:rPr>
          <w:rStyle w:val="Heading10"/>
          <w:rFonts w:ascii="Verdana" w:hAnsi="Verdana"/>
          <w:b/>
          <w:sz w:val="32"/>
          <w:lang w:eastAsia="fr-FR" w:bidi="fr-FR"/>
        </w:rPr>
        <w:t xml:space="preserve">Profile </w:t>
      </w:r>
      <w:r w:rsidRPr="00BE17B2">
        <w:rPr>
          <w:rStyle w:val="Heading10"/>
          <w:rFonts w:ascii="Verdana" w:hAnsi="Verdana"/>
          <w:b/>
          <w:sz w:val="32"/>
        </w:rPr>
        <w:t>of Clio</w:t>
      </w:r>
    </w:p>
    <w:p w14:paraId="450211BB" w14:textId="24D2081C" w:rsidR="004359F4" w:rsidRPr="00BE17B2" w:rsidRDefault="000F625F" w:rsidP="00BE17B2">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4359F4" w:rsidRPr="00BE17B2">
        <w:rPr>
          <w:rStyle w:val="Heading10"/>
          <w:rFonts w:ascii="Verdana" w:hAnsi="Verdana"/>
          <w:sz w:val="24"/>
        </w:rPr>
        <w:t>Brodsky</w:t>
      </w:r>
    </w:p>
    <w:p w14:paraId="4DA1D609" w14:textId="77777777" w:rsidR="00B07EC9" w:rsidRPr="00CF7AB2" w:rsidRDefault="00B07EC9" w:rsidP="004359F4">
      <w:pPr>
        <w:suppressAutoHyphens/>
        <w:spacing w:after="0"/>
        <w:ind w:firstLine="283"/>
        <w:jc w:val="both"/>
        <w:rPr>
          <w:rFonts w:ascii="Verdana" w:hAnsi="Verdana"/>
          <w:sz w:val="20"/>
        </w:rPr>
      </w:pPr>
    </w:p>
    <w:p w14:paraId="549CED70"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never thought it would come to this, to my speaking on his</w:t>
      </w:r>
      <w:r w:rsidRPr="00CF7AB2">
        <w:rPr>
          <w:rStyle w:val="BodyTextChar"/>
          <w:rFonts w:ascii="Verdana" w:hAnsi="Verdana"/>
          <w:sz w:val="20"/>
        </w:rPr>
        <w:softHyphen/>
        <w:t>tory. But as concessions to one’s age go, a lecture on the sub</w:t>
      </w:r>
      <w:r w:rsidRPr="00CF7AB2">
        <w:rPr>
          <w:rStyle w:val="BodyTextChar"/>
          <w:rFonts w:ascii="Verdana" w:hAnsi="Verdana"/>
          <w:sz w:val="20"/>
        </w:rPr>
        <w:softHyphen/>
        <w:t>ject appears inevitable. An invitation to deliver it suggests not so much the value of the speaker’s views as his perceptible moribundity. “He is history” goes the disparaging remark, referring to a has-been, and it is the proximity of an individ</w:t>
      </w:r>
      <w:r w:rsidRPr="00CF7AB2">
        <w:rPr>
          <w:rStyle w:val="BodyTextChar"/>
          <w:rFonts w:ascii="Verdana" w:hAnsi="Verdana"/>
          <w:sz w:val="20"/>
        </w:rPr>
        <w:softHyphen/>
        <w:t>ual to this status that turns him, sometimes in his own eyes, into a sage. After all, those to whom we owe the very notion of history—the great historians as well as their subjects—are the dead. In other words, the closer one gets to one’s future, i.e., to the graveyard, the better one sees the past.</w:t>
      </w:r>
    </w:p>
    <w:p w14:paraId="234DB72F"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accept this. The recognition of mortality gives birth to all sorts of insights and qualifiers. History, after all, is one of those nouns that can’t do without epithets. Left to its own devices, history stretches from our own childhood all the way back to the fossils. It may stand simultaneously for the past in general, the recorded past, an academic discipline, the quality of the present, or the implication of a continuum. Every culture has its own version of antiquity; so does every century; so should, I believe, every individual. Consensus</w:t>
      </w:r>
      <w:r>
        <w:rPr>
          <w:rStyle w:val="BodyTextChar"/>
          <w:rFonts w:ascii="Verdana" w:hAnsi="Verdana"/>
          <w:sz w:val="20"/>
        </w:rPr>
        <w:t xml:space="preserve"> </w:t>
      </w:r>
      <w:r w:rsidRPr="00CF7AB2">
        <w:rPr>
          <w:rStyle w:val="BodyTextChar"/>
          <w:rFonts w:ascii="Verdana" w:hAnsi="Verdana"/>
          <w:sz w:val="20"/>
        </w:rPr>
        <w:t xml:space="preserve">on this noun’s definition is, therefore, unthinkable and, come to think of it, unnecessary. It is always used loosely as an antonym to the present and is defined by the context of discourse. Given my age as well as my </w:t>
      </w:r>
      <w:r w:rsidRPr="00CF7AB2">
        <w:rPr>
          <w:rStyle w:val="BodyTextChar"/>
          <w:rFonts w:ascii="Verdana" w:hAnsi="Verdana"/>
          <w:sz w:val="20"/>
          <w:lang w:eastAsia="fr-FR" w:bidi="fr-FR"/>
        </w:rPr>
        <w:t xml:space="preserve">métier, </w:t>
      </w:r>
      <w:r w:rsidRPr="00CF7AB2">
        <w:rPr>
          <w:rStyle w:val="BodyTextChar"/>
          <w:rFonts w:ascii="Verdana" w:hAnsi="Verdana"/>
          <w:sz w:val="20"/>
        </w:rPr>
        <w:t>I should be interested in those antonyms, in each one of them. At my age and in my line of work, the less palpable a notion, the more absorbing it is.</w:t>
      </w:r>
    </w:p>
    <w:p w14:paraId="77794336"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we have anything in common with antiquity, it is the prospect of nonbeing. This alone can engender the study of history, as perhaps it did, because what history is all about is absence, and absence is always recognizable—much more so than presence. Which is to say that our interest in history, normally billed as the quest for a common denominator, for the origins of our ethics, is, in the first place, an eschato</w:t>
      </w:r>
      <w:r w:rsidRPr="00CF7AB2">
        <w:rPr>
          <w:rStyle w:val="BodyTextChar"/>
          <w:rFonts w:ascii="Verdana" w:hAnsi="Verdana"/>
          <w:sz w:val="20"/>
        </w:rPr>
        <w:softHyphen/>
        <w:t>logical, and therefore anthropomorphic, and therefore nar</w:t>
      </w:r>
      <w:r w:rsidRPr="00CF7AB2">
        <w:rPr>
          <w:rStyle w:val="BodyTextChar"/>
          <w:rFonts w:ascii="Verdana" w:hAnsi="Verdana"/>
          <w:sz w:val="20"/>
        </w:rPr>
        <w:softHyphen/>
        <w:t>cissistic, affair. This is proved by all sorts of revisionist quarrels and bickerings that abound in this field, thus re</w:t>
      </w:r>
      <w:r w:rsidRPr="00CF7AB2">
        <w:rPr>
          <w:rStyle w:val="BodyTextChar"/>
          <w:rFonts w:ascii="Verdana" w:hAnsi="Verdana"/>
          <w:sz w:val="20"/>
        </w:rPr>
        <w:softHyphen/>
        <w:t>calling a model arguing with an artist over her depiction— or a bunch of artists in front of an empty canvas.</w:t>
      </w:r>
    </w:p>
    <w:p w14:paraId="02147737"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Further proof of this is our predilection for reading— and the historians’ for producing—the lives of Caesars, pha</w:t>
      </w:r>
      <w:r w:rsidRPr="00CF7AB2">
        <w:rPr>
          <w:rStyle w:val="BodyTextChar"/>
          <w:rFonts w:ascii="Verdana" w:hAnsi="Verdana"/>
          <w:sz w:val="20"/>
        </w:rPr>
        <w:softHyphen/>
        <w:t>raohs, satraps, kings, and queens. These have nothing to do with the common denominator, and often not much with ethics either. We go in for this sort of reading because of the central position that we believe we occupy in our own reality, because of the illusion of the individual’s paramount consequence. To that one must add that, like biographies, those fixes are, stylistically speaking, the last bastions of realism, since in this genre stream-of-consciousness and other avant-garde hopscotch techniques won’t do.</w:t>
      </w:r>
    </w:p>
    <w:p w14:paraId="662E318D"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net result is the expression of uncertainty that be</w:t>
      </w:r>
      <w:r w:rsidRPr="00CF7AB2">
        <w:rPr>
          <w:rStyle w:val="BodyTextChar"/>
          <w:rFonts w:ascii="Verdana" w:hAnsi="Verdana"/>
          <w:sz w:val="20"/>
        </w:rPr>
        <w:softHyphen/>
        <w:t>devils every portrait of history. That’s what the model fights over with the artist, or the artists among themselves. For the model—let us call her Clio—may think herself, or her</w:t>
      </w:r>
      <w:r>
        <w:rPr>
          <w:rStyle w:val="BodyTextChar"/>
          <w:rFonts w:ascii="Verdana" w:hAnsi="Verdana"/>
          <w:sz w:val="20"/>
        </w:rPr>
        <w:t xml:space="preserve"> </w:t>
      </w:r>
      <w:r w:rsidRPr="00CF7AB2">
        <w:rPr>
          <w:rStyle w:val="BodyTextChar"/>
          <w:rFonts w:ascii="Verdana" w:hAnsi="Verdana"/>
          <w:sz w:val="20"/>
        </w:rPr>
        <w:t>agents, more resolute and clear-cut than the way historians paint her. Yet one can understand historians projecting their own ambiguities and subtleties upon their subject: in the light—or rather, the dark—of what awaits them, they don’t wish to seem like simpletons. Generally known for their longevity, historians, by showing scruple and doubt, turn their discipline into a kind of insurance policy.</w:t>
      </w:r>
    </w:p>
    <w:p w14:paraId="152FCD63"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Whether he realizes it or not, the historian’s predica</w:t>
      </w:r>
      <w:r w:rsidRPr="00CF7AB2">
        <w:rPr>
          <w:rStyle w:val="BodyTextChar"/>
          <w:rFonts w:ascii="Verdana" w:hAnsi="Verdana"/>
          <w:sz w:val="20"/>
        </w:rPr>
        <w:softHyphen/>
        <w:t xml:space="preserve">ment is to be transfixed between two voids: of the past that he ponders and of the future for whose sake he ostensibly does this. For him, the notion of nonbeing gets doubled. Perhaps the voids even overlap. Unable to handle both, he strives to animate the former, since by </w:t>
      </w:r>
      <w:r w:rsidRPr="00CF7AB2">
        <w:rPr>
          <w:rStyle w:val="BodyTextChar"/>
          <w:rFonts w:ascii="Verdana" w:hAnsi="Verdana"/>
          <w:sz w:val="20"/>
        </w:rPr>
        <w:lastRenderedPageBreak/>
        <w:t>definition the past, as a source of personal terror, is more controllable than the future.</w:t>
      </w:r>
    </w:p>
    <w:p w14:paraId="65E70D4E"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His opposite number, then, should be the religious mys</w:t>
      </w:r>
      <w:r w:rsidRPr="00CF7AB2">
        <w:rPr>
          <w:rStyle w:val="BodyTextChar"/>
          <w:rFonts w:ascii="Verdana" w:hAnsi="Verdana"/>
          <w:sz w:val="20"/>
        </w:rPr>
        <w:softHyphen/>
        <w:t>tic or the theologian. Admittedly, the structuring of the af</w:t>
      </w:r>
      <w:r w:rsidRPr="00CF7AB2">
        <w:rPr>
          <w:rStyle w:val="BodyTextChar"/>
          <w:rFonts w:ascii="Verdana" w:hAnsi="Verdana"/>
          <w:sz w:val="20"/>
        </w:rPr>
        <w:softHyphen/>
        <w:t>terlife involves a greater degree of rigidity than that of the pre-life. What makes up for this difference, however, is their respective quests for causality, the common denominator, and the ethical consequences for the present—so much so that in a society in which the authority of the church is in decline, and the authority of philosophy and the state are negligible or nonexistent, it falls precisely to history to take care of ethical matters.</w:t>
      </w:r>
    </w:p>
    <w:p w14:paraId="6BF647F8"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the end, of course, the choice that one’s eschato</w:t>
      </w:r>
      <w:r w:rsidRPr="00CF7AB2">
        <w:rPr>
          <w:rStyle w:val="BodyTextChar"/>
          <w:rFonts w:ascii="Verdana" w:hAnsi="Verdana"/>
          <w:sz w:val="20"/>
        </w:rPr>
        <w:softHyphen/>
        <w:t>logical proclivity makes between history and religion is determined by temperament. Yet regardless of the com</w:t>
      </w:r>
      <w:r w:rsidRPr="00CF7AB2">
        <w:rPr>
          <w:rStyle w:val="BodyTextChar"/>
          <w:rFonts w:ascii="Verdana" w:hAnsi="Verdana"/>
          <w:sz w:val="20"/>
        </w:rPr>
        <w:softHyphen/>
        <w:t>mandments of one’s bile, or whether one is retrospective, introspective, or prospective by nature, the inalienable as</w:t>
      </w:r>
      <w:r w:rsidRPr="00CF7AB2">
        <w:rPr>
          <w:rStyle w:val="BodyTextChar"/>
          <w:rFonts w:ascii="Verdana" w:hAnsi="Verdana"/>
          <w:sz w:val="20"/>
        </w:rPr>
        <w:softHyphen/>
        <w:t>pect of either pursuit is the anxiety of its validity. In this respect, the fondness of all creeds for citing their pedigree and their general reliance on historical sources is particularly worth noting. For when it comes to the burden of proof, history, unlike religion, has nobody to turn to but itself.</w:t>
      </w:r>
    </w:p>
    <w:p w14:paraId="6233DEBE"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(Also, unlike creeds, history to its credit stops cold at geo</w:t>
      </w:r>
      <w:r w:rsidRPr="00CF7AB2">
        <w:rPr>
          <w:rStyle w:val="BodyTextChar"/>
          <w:rFonts w:ascii="Verdana" w:hAnsi="Verdana"/>
          <w:sz w:val="20"/>
        </w:rPr>
        <w:softHyphen/>
        <w:t>logy, thus demonstrating a degree of honesty and its potential for turning into a science.)</w:t>
      </w:r>
    </w:p>
    <w:p w14:paraId="7AF4FD5B" w14:textId="77777777" w:rsidR="00B07EC9" w:rsidRPr="00CF7AB2" w:rsidRDefault="00B07EC9" w:rsidP="004359F4">
      <w:pPr>
        <w:suppressAutoHyphens/>
        <w:spacing w:after="0"/>
        <w:ind w:firstLine="283"/>
        <w:jc w:val="both"/>
        <w:rPr>
          <w:rFonts w:ascii="Verdana" w:hAnsi="Verdana"/>
          <w:sz w:val="20"/>
        </w:rPr>
      </w:pPr>
    </w:p>
    <w:p w14:paraId="23A88033"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makes history, I believe, a more dramatic choice. An escape route trying to prove every step of the way that it is an escape route? Perhaps, but we judge the effectiveness of our choices not so much by their results as by their alter</w:t>
      </w:r>
      <w:r w:rsidRPr="00CF7AB2">
        <w:rPr>
          <w:rStyle w:val="BodyTextChar"/>
          <w:rFonts w:ascii="Verdana" w:hAnsi="Verdana"/>
          <w:sz w:val="20"/>
        </w:rPr>
        <w:softHyphen/>
        <w:t>natives. The certitude of your existence’s discontinuity, the certitude of the void, makes the uncertainties of history a palpable proposition. In fact, the more uncertain it is, the greater its burden of proof, the better it quells your escha</w:t>
      </w:r>
      <w:r w:rsidRPr="00CF7AB2">
        <w:rPr>
          <w:rStyle w:val="BodyTextChar"/>
          <w:rFonts w:ascii="Verdana" w:hAnsi="Verdana"/>
          <w:sz w:val="20"/>
        </w:rPr>
        <w:softHyphen/>
        <w:t>tological dread. Frankly, it is easier for an effect to handle the shock of its inconsequence, easier to face the unavoidable void, than the apparent lack of its cause (for instance, when one’s progenitors are gone).</w:t>
      </w:r>
    </w:p>
    <w:p w14:paraId="124AECFC"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Hence that vagueness in the looks of Clio, whether she is decked out in ancient or in fairly modem garb. Yet it becomes her, not least because of her femininity, which makes her more attractive to the eye than any bearded Pan- tocrator. It should also be noted that, younger though she is than her sister Urania (who, being the Muse of Geography, curbs many of history’s motions significantly), Clio is still older than </w:t>
      </w:r>
      <w:r w:rsidRPr="00CF7AB2">
        <w:rPr>
          <w:rStyle w:val="BodyTextChar"/>
          <w:rFonts w:ascii="Verdana" w:hAnsi="Verdana"/>
          <w:i/>
          <w:iCs/>
          <w:sz w:val="20"/>
        </w:rPr>
        <w:t>any</w:t>
      </w:r>
      <w:r w:rsidRPr="00CF7AB2">
        <w:rPr>
          <w:rStyle w:val="BodyTextChar"/>
          <w:rFonts w:ascii="Verdana" w:hAnsi="Verdana"/>
          <w:sz w:val="20"/>
        </w:rPr>
        <w:t xml:space="preserve"> being. As large as one’s appetite for infinity may be, this is a good match for the life everlasting, should it go in for numerical expression. What’s particularly un</w:t>
      </w:r>
      <w:r w:rsidRPr="00CF7AB2">
        <w:rPr>
          <w:rStyle w:val="BodyTextChar"/>
          <w:rFonts w:ascii="Verdana" w:hAnsi="Verdana"/>
          <w:sz w:val="20"/>
        </w:rPr>
        <w:softHyphen/>
        <w:t>palatable about death is that it negates numbers.</w:t>
      </w:r>
    </w:p>
    <w:p w14:paraId="5F724BD3"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So it is as Clio’s admirer that I stand before you today, not as a connoisseur of her works, let alone as her suitor. Like anyone of my age, I may also claim the status of her witness; but by neither temperament nor </w:t>
      </w:r>
      <w:r w:rsidRPr="00CF7AB2">
        <w:rPr>
          <w:rStyle w:val="BodyTextChar"/>
          <w:rFonts w:ascii="Verdana" w:hAnsi="Verdana"/>
          <w:sz w:val="20"/>
          <w:lang w:eastAsia="fr-FR" w:bidi="fr-FR"/>
        </w:rPr>
        <w:t xml:space="preserve">métier </w:t>
      </w:r>
      <w:r w:rsidRPr="00CF7AB2">
        <w:rPr>
          <w:rStyle w:val="BodyTextChar"/>
          <w:rFonts w:ascii="Verdana" w:hAnsi="Verdana"/>
          <w:sz w:val="20"/>
        </w:rPr>
        <w:t>am I pre</w:t>
      </w:r>
      <w:r w:rsidRPr="00CF7AB2">
        <w:rPr>
          <w:rStyle w:val="BodyTextChar"/>
          <w:rFonts w:ascii="Verdana" w:hAnsi="Verdana"/>
          <w:sz w:val="20"/>
        </w:rPr>
        <w:softHyphen/>
        <w:t xml:space="preserve">pared to generalize about her deportment. The </w:t>
      </w:r>
      <w:r w:rsidRPr="00CF7AB2">
        <w:rPr>
          <w:rStyle w:val="BodyTextChar"/>
          <w:rFonts w:ascii="Verdana" w:hAnsi="Verdana"/>
          <w:sz w:val="20"/>
          <w:lang w:eastAsia="fr-FR" w:bidi="fr-FR"/>
        </w:rPr>
        <w:t xml:space="preserve">métier </w:t>
      </w:r>
      <w:r w:rsidRPr="00CF7AB2">
        <w:rPr>
          <w:rStyle w:val="BodyTextChar"/>
          <w:rFonts w:ascii="Verdana" w:hAnsi="Verdana"/>
          <w:sz w:val="20"/>
        </w:rPr>
        <w:t>es</w:t>
      </w:r>
      <w:r w:rsidRPr="00CF7AB2">
        <w:rPr>
          <w:rStyle w:val="BodyTextChar"/>
          <w:rFonts w:ascii="Verdana" w:hAnsi="Verdana"/>
          <w:sz w:val="20"/>
        </w:rPr>
        <w:softHyphen/>
        <w:t>pecially conspires against my expanding on any—particularly any absorbing—subject. It trains one, albeit not always suc</w:t>
      </w:r>
      <w:r w:rsidRPr="00CF7AB2">
        <w:rPr>
          <w:rStyle w:val="BodyTextChar"/>
          <w:rFonts w:ascii="Verdana" w:hAnsi="Verdana"/>
          <w:sz w:val="20"/>
        </w:rPr>
        <w:softHyphen/>
        <w:t>cessfully, to make one’s utterances succinct, sometimes to the point of appearing hermetic and losing either one’s au</w:t>
      </w:r>
      <w:r w:rsidRPr="00CF7AB2">
        <w:rPr>
          <w:rStyle w:val="BodyTextChar"/>
          <w:rFonts w:ascii="Verdana" w:hAnsi="Verdana"/>
          <w:sz w:val="20"/>
        </w:rPr>
        <w:softHyphen/>
        <w:t>dience or, more often, the subject itself. So should you find some of what is to follow too breezy or inconclusive, you’ll know whom to blame. It’s Euterpe.</w:t>
      </w:r>
    </w:p>
    <w:p w14:paraId="3ED3B40C" w14:textId="77777777" w:rsidR="00B07EC9" w:rsidRPr="00CF7AB2" w:rsidRDefault="00B07EC9" w:rsidP="004359F4">
      <w:pPr>
        <w:suppressAutoHyphens/>
        <w:spacing w:after="0"/>
        <w:ind w:firstLine="283"/>
        <w:jc w:val="both"/>
        <w:rPr>
          <w:rFonts w:ascii="Verdana" w:hAnsi="Verdana"/>
          <w:sz w:val="20"/>
        </w:rPr>
      </w:pPr>
    </w:p>
    <w:p w14:paraId="5AAEF465"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Clio of course also has a knack for brevity, which she displays in a murder or in an epitaph. Those two genres alone give the lie to Marx’s famous adage about history oc</w:t>
      </w:r>
      <w:r w:rsidRPr="00CF7AB2">
        <w:rPr>
          <w:rStyle w:val="BodyTextChar"/>
          <w:rFonts w:ascii="Verdana" w:hAnsi="Verdana"/>
          <w:sz w:val="20"/>
        </w:rPr>
        <w:softHyphen/>
        <w:t>curring first as tragedy, then as farce. For it is always a different man who gets murdered; it is always a tragedy. Not to mention that once we’re employing theatrical terminol</w:t>
      </w:r>
      <w:r w:rsidRPr="00CF7AB2">
        <w:rPr>
          <w:rStyle w:val="BodyTextChar"/>
          <w:rFonts w:ascii="Verdana" w:hAnsi="Verdana"/>
          <w:sz w:val="20"/>
        </w:rPr>
        <w:softHyphen/>
        <w:t xml:space="preserve">ogy, we shouldn’t stop at farce: there is also vaudeville, musical, theater of the absurd, soap opera, and so on. One should be very careful about metaphors when dealing with history, not only because they often breed either </w:t>
      </w:r>
      <w:r w:rsidRPr="00CF7AB2">
        <w:rPr>
          <w:rStyle w:val="BodyTextChar"/>
          <w:rFonts w:ascii="Verdana" w:hAnsi="Verdana"/>
          <w:sz w:val="20"/>
        </w:rPr>
        <w:lastRenderedPageBreak/>
        <w:t>unwar</w:t>
      </w:r>
      <w:r w:rsidRPr="00CF7AB2">
        <w:rPr>
          <w:rStyle w:val="BodyTextChar"/>
          <w:rFonts w:ascii="Verdana" w:hAnsi="Verdana"/>
          <w:sz w:val="20"/>
        </w:rPr>
        <w:softHyphen/>
        <w:t>ranted cynicism (like the example I just quoted) or ground</w:t>
      </w:r>
      <w:r w:rsidRPr="00CF7AB2">
        <w:rPr>
          <w:rStyle w:val="BodyTextChar"/>
          <w:rFonts w:ascii="Verdana" w:hAnsi="Verdana"/>
          <w:sz w:val="20"/>
        </w:rPr>
        <w:softHyphen/>
        <w:t>less enthusiasm, but also because they obscure—almost without exception—the singular nature of every historical occurrence.</w:t>
      </w:r>
    </w:p>
    <w:p w14:paraId="04E29DD6"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Clio is the Muse of Time, as the poet said, and in time nothing happens twice. Perhaps the most pernicious aspect of that theatrical metaphor is that it ushers into one’s mind the sense of being a spectator, of observing from the stalls what transpires on the stage, be it a farce or a tragedy. Even if such a state of affairs were really possible, that in itself would be a tragedy: that of complicity; that is, a tragedy of the ethical kind. The truth, however, is that history does not provide us with distance. It does not distinguish between the stage and the audience, which it often lacks, since mur</w:t>
      </w:r>
      <w:r w:rsidRPr="00CF7AB2">
        <w:rPr>
          <w:rStyle w:val="BodyTextChar"/>
          <w:rFonts w:ascii="Verdana" w:hAnsi="Verdana"/>
          <w:sz w:val="20"/>
        </w:rPr>
        <w:softHyphen/>
        <w:t>der, for one thing, is almost synonymous with the absence of witnesses. Let me quote the poet’s—W. H. Auden’s—invocation of Clio a bit more fully:</w:t>
      </w:r>
    </w:p>
    <w:p w14:paraId="04CDD7BD" w14:textId="77777777" w:rsidR="00B07EC9" w:rsidRPr="00CF7AB2" w:rsidRDefault="00B07EC9" w:rsidP="004359F4">
      <w:pPr>
        <w:suppressAutoHyphens/>
        <w:spacing w:after="0"/>
        <w:ind w:firstLine="283"/>
        <w:jc w:val="both"/>
        <w:rPr>
          <w:rFonts w:ascii="Verdana" w:hAnsi="Verdana"/>
          <w:sz w:val="20"/>
        </w:rPr>
      </w:pPr>
    </w:p>
    <w:p w14:paraId="67DA1B97" w14:textId="77777777" w:rsidR="00B07EC9" w:rsidRPr="00CF7AB2" w:rsidRDefault="00B07EC9" w:rsidP="004359F4">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Clio,</w:t>
      </w:r>
    </w:p>
    <w:p w14:paraId="356156F5" w14:textId="77777777" w:rsidR="00B07EC9" w:rsidRPr="00CF7AB2" w:rsidRDefault="00B07EC9" w:rsidP="004359F4">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Muse of Time, but for whose merciful silence</w:t>
      </w:r>
    </w:p>
    <w:p w14:paraId="7251CC71" w14:textId="77777777" w:rsidR="00B07EC9" w:rsidRDefault="00B07EC9" w:rsidP="004359F4">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Only the first step would count and that</w:t>
      </w:r>
    </w:p>
    <w:p w14:paraId="471D0A47" w14:textId="77777777" w:rsidR="00B07EC9" w:rsidRPr="00CF7AB2" w:rsidRDefault="00B07EC9" w:rsidP="004359F4">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Would always be murder</w:t>
      </w:r>
      <w:r>
        <w:rPr>
          <w:rStyle w:val="BodyTextChar"/>
          <w:rFonts w:ascii="Verdana" w:hAnsi="Verdana"/>
          <w:sz w:val="20"/>
          <w:szCs w:val="20"/>
        </w:rPr>
        <w:t> . . .</w:t>
      </w:r>
    </w:p>
    <w:p w14:paraId="4020301E" w14:textId="77777777" w:rsidR="00B07EC9" w:rsidRPr="00CF7AB2" w:rsidRDefault="00B07EC9" w:rsidP="004359F4">
      <w:pPr>
        <w:suppressAutoHyphens/>
        <w:spacing w:after="0"/>
        <w:ind w:firstLine="283"/>
        <w:jc w:val="both"/>
        <w:rPr>
          <w:rFonts w:ascii="Verdana" w:hAnsi="Verdana"/>
          <w:sz w:val="20"/>
        </w:rPr>
      </w:pPr>
    </w:p>
    <w:p w14:paraId="2DE2BF13"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Since everything that happens in time happens only once, we, in order to grasp what has occurred, have to iden</w:t>
      </w:r>
      <w:r w:rsidRPr="00CF7AB2">
        <w:rPr>
          <w:rStyle w:val="BodyTextChar"/>
          <w:rFonts w:ascii="Verdana" w:hAnsi="Verdana"/>
          <w:sz w:val="20"/>
        </w:rPr>
        <w:softHyphen/>
        <w:t>tify with the victim, not with the survivor or the onlooker. As it is, however, history is an art of the onlookers, since the victims’ main trait is their silence, for murder renders them speechless. If our poet is referring to the story of Cain and Abel, then history is always Cain’s version. The reason for putting this so drastically is to assert the distinction be</w:t>
      </w:r>
      <w:r w:rsidRPr="00CF7AB2">
        <w:rPr>
          <w:rStyle w:val="BodyTextChar"/>
          <w:rFonts w:ascii="Verdana" w:hAnsi="Verdana"/>
          <w:sz w:val="20"/>
        </w:rPr>
        <w:softHyphen/>
        <w:t>tween fact and its interpretation, which we fail to make when we say “history.”</w:t>
      </w:r>
    </w:p>
    <w:p w14:paraId="6EC8FD03"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failure leads to our belief that we can learn from history, and that it has a purpose, notably ourselves. For all our fondness for causality and hindsight, this assumption is monstrous, since it justifies many an absence as paving the way to our own presences. Had they not been bumped off, this benefit of hindsight tells us, it would be somebody else sitting here at our table, not exactly ourselves. Our interest in history, in that case, would be plain prurience, tinged perhaps with gratitude.</w:t>
      </w:r>
    </w:p>
    <w:p w14:paraId="2F9F5660"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perhaps that’s exactly what it is, which would put us on a somewhat bland ethical diet; but then we were never gluttonous that way to begin with (for we accept the erasure of our predecessors to the point at which we should perhaps take history out of the humanities altogether and place it squarely with the natural sciences). The other option is to distinguish between fact and description, treating each his</w:t>
      </w:r>
      <w:r w:rsidRPr="00CF7AB2">
        <w:rPr>
          <w:rStyle w:val="BodyTextChar"/>
          <w:rFonts w:ascii="Verdana" w:hAnsi="Verdana"/>
          <w:sz w:val="20"/>
        </w:rPr>
        <w:softHyphen/>
        <w:t>torical event as Clio’s unique appearance in human quarters, triggered not by our formal logic but by her own arbitrary</w:t>
      </w:r>
      <w:r>
        <w:rPr>
          <w:rStyle w:val="BodyTextChar"/>
          <w:rFonts w:ascii="Verdana" w:hAnsi="Verdana"/>
          <w:sz w:val="20"/>
        </w:rPr>
        <w:t xml:space="preserve"> </w:t>
      </w:r>
      <w:r w:rsidRPr="00CF7AB2">
        <w:rPr>
          <w:rStyle w:val="BodyTextChar"/>
          <w:rFonts w:ascii="Verdana" w:hAnsi="Verdana"/>
          <w:sz w:val="20"/>
        </w:rPr>
        <w:t>will. The drawback in this case is that, placing as high a premium on rationality and linear thought as we do, we may panic, and either collapse as ethical beings or, more likely, dash for a further Cartesian rigidity.</w:t>
      </w:r>
    </w:p>
    <w:p w14:paraId="0EC16523"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None of this is desirable or satisfactory. To accept history as a rational process governed by graspable laws is impos</w:t>
      </w:r>
      <w:r w:rsidRPr="00CF7AB2">
        <w:rPr>
          <w:rStyle w:val="BodyTextChar"/>
          <w:rFonts w:ascii="Verdana" w:hAnsi="Verdana"/>
          <w:sz w:val="20"/>
        </w:rPr>
        <w:softHyphen/>
        <w:t>sible, because it is often too carnivorous. To regard it as an irrational force of incomprehensible purpose and appetite is equally unacceptable, and for the same reason: it acts on our species. A target cannot accept a bullet.</w:t>
      </w:r>
    </w:p>
    <w:p w14:paraId="2C51B566" w14:textId="77777777" w:rsidR="00B07EC9" w:rsidRPr="00CF7AB2" w:rsidRDefault="00B07EC9" w:rsidP="004359F4">
      <w:pPr>
        <w:suppressAutoHyphens/>
        <w:spacing w:after="0"/>
        <w:ind w:firstLine="283"/>
        <w:jc w:val="both"/>
        <w:rPr>
          <w:rFonts w:ascii="Verdana" w:hAnsi="Verdana"/>
          <w:sz w:val="20"/>
        </w:rPr>
      </w:pPr>
    </w:p>
    <w:p w14:paraId="55A8E10C"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Characteristically, the voice of our instinct for self-preser</w:t>
      </w:r>
      <w:r w:rsidRPr="00CF7AB2">
        <w:rPr>
          <w:rStyle w:val="BodyTextChar"/>
          <w:rFonts w:ascii="Verdana" w:hAnsi="Verdana"/>
          <w:sz w:val="20"/>
        </w:rPr>
        <w:softHyphen/>
        <w:t>vation comes out as a cry: What are we to tell our young? Because we are the products of linear thought, we believe that history, whether it is a rational process or an irrational force, is to dog the future. Linear thinking, to be sure, is a tool of the instinct for self-</w:t>
      </w:r>
      <w:r w:rsidRPr="00CF7AB2">
        <w:rPr>
          <w:rStyle w:val="BodyTextChar"/>
          <w:rFonts w:ascii="Verdana" w:hAnsi="Verdana"/>
          <w:sz w:val="20"/>
        </w:rPr>
        <w:lastRenderedPageBreak/>
        <w:t>preservation; and in the conflict between this instinct and our eschatological predilection, it is the former that always wins. It is a Pyrrhic victory, but what matters is the battle itself, and our notion of the future amounts to an extension of our own present. For we know that every bullet flies in from the future, which, in order to arrive, has to wipe out the obstacle of the present. That’s what our notion of history is for, that’s why interpretation is preferred to fact, that’s why the irrational version is always dismissed.</w:t>
      </w:r>
    </w:p>
    <w:p w14:paraId="4ACE5EC7"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hard to argue with an instinct; in fact, it is futile. We simply crave the future, and history is here to make that claim, or the future itself, legitimate. If indeed we care so much about what we are to tell the young, the following should be done. First, we should define history as a summary either of known events or of their interpretations. In all likelihood, we’ll settle for the latter, since every event’s name is itself an interpretation. Since interpretations are unavoid</w:t>
      </w:r>
      <w:r w:rsidRPr="00CF7AB2">
        <w:rPr>
          <w:rStyle w:val="BodyTextChar"/>
          <w:rFonts w:ascii="Verdana" w:hAnsi="Verdana"/>
          <w:sz w:val="20"/>
        </w:rPr>
        <w:softHyphen/>
        <w:t>able, the second step should be the publication of a chron</w:t>
      </w:r>
      <w:r w:rsidRPr="00CF7AB2">
        <w:rPr>
          <w:rStyle w:val="BodyTextChar"/>
          <w:rFonts w:ascii="Verdana" w:hAnsi="Verdana"/>
          <w:sz w:val="20"/>
        </w:rPr>
        <w:softHyphen/>
        <w:t>ological canon of world history, in which every event would be supplied with a minimum number of interpretations— say, conservative, Marxist, Freudian, structuralist. This may result in an unwieldy encyclopedia, but the young about whom we seem to worry so much will at least be provided with a multiple choice.</w:t>
      </w:r>
    </w:p>
    <w:p w14:paraId="6A16D4D4"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Apart from enabling them to think more enterprisingly, such a canon will render Clio more stereoscopic, and thus more easily recognizable in a crowd or a drawing room. For portraits in profile, three-quarters, or even full face (down to the last pore, in the manner of the </w:t>
      </w:r>
      <w:r w:rsidRPr="00CF7AB2">
        <w:rPr>
          <w:rStyle w:val="BodyTextChar"/>
          <w:rFonts w:ascii="Verdana" w:hAnsi="Verdana"/>
          <w:sz w:val="20"/>
          <w:lang w:eastAsia="fr-FR" w:bidi="fr-FR"/>
        </w:rPr>
        <w:t xml:space="preserve">Annales </w:t>
      </w:r>
      <w:r w:rsidRPr="00CF7AB2">
        <w:rPr>
          <w:rStyle w:val="BodyTextChar"/>
          <w:rFonts w:ascii="Verdana" w:hAnsi="Verdana"/>
          <w:sz w:val="20"/>
        </w:rPr>
        <w:t>school) in</w:t>
      </w:r>
      <w:r w:rsidRPr="00CF7AB2">
        <w:rPr>
          <w:rStyle w:val="BodyTextChar"/>
          <w:rFonts w:ascii="Verdana" w:hAnsi="Verdana"/>
          <w:sz w:val="20"/>
        </w:rPr>
        <w:softHyphen/>
        <w:t>variably obscure what one may hold behind one’s back. This sort of thing lowers one’s guard, and this is how history usually finds us: with our guard down.</w:t>
      </w:r>
    </w:p>
    <w:p w14:paraId="08EFAF5F"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main attraction of such a canon is that it would convey to the young the atemporal and arrhythmic nature of Clio. The Muse of Time cannot, by definition, be held hostage to one’s homemade chronology. It’s quite possible that from time’s own point of view the murder of Caesar and World War II occurred simultaneously, in reverse order, or not at all. By throwing many interpretations at any given event simultaneously, we may not hit the jackpot, but we will develop a better grasp of the slot machine itself. The cumulative effect of using such a canon may have peculiar consequences for our psyche; but it surely will improve our defenses, not to mention our metaphysics.</w:t>
      </w:r>
    </w:p>
    <w:p w14:paraId="6E2787A1" w14:textId="77777777" w:rsidR="00B07EC9" w:rsidRPr="00CF7AB2" w:rsidRDefault="00B07EC9" w:rsidP="004359F4">
      <w:pPr>
        <w:suppressAutoHyphens/>
        <w:spacing w:after="0"/>
        <w:ind w:firstLine="283"/>
        <w:jc w:val="both"/>
        <w:rPr>
          <w:rFonts w:ascii="Verdana" w:hAnsi="Verdana"/>
          <w:sz w:val="20"/>
        </w:rPr>
      </w:pPr>
    </w:p>
    <w:p w14:paraId="7D8B2D8F"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Every discourse on history’s meaning, laws, principles, and whatnot is but an attempt to domesticate time, a quest for predictability. This is paradoxical, because history nearly always takes us by surprise. Come to think of it, predictability is precisely what precedes a shock. Given the toll it normally takes, a shock can be regarded as a sort of bill one pays for</w:t>
      </w:r>
      <w:r>
        <w:rPr>
          <w:rStyle w:val="BodyTextChar"/>
          <w:rFonts w:ascii="Verdana" w:hAnsi="Verdana"/>
          <w:sz w:val="20"/>
        </w:rPr>
        <w:t xml:space="preserve"> </w:t>
      </w:r>
      <w:r w:rsidRPr="00CF7AB2">
        <w:rPr>
          <w:rStyle w:val="BodyTextChar"/>
          <w:rFonts w:ascii="Verdana" w:hAnsi="Verdana"/>
          <w:sz w:val="20"/>
        </w:rPr>
        <w:t>comforts. The benefit of hindsight waxing metaphysical will explain this preference as an echo of time’s own tick-tock monotony. Regrettably, time also has a tendency to sound shrill, and all we’ve got to echo that with is mass graves.</w:t>
      </w:r>
    </w:p>
    <w:p w14:paraId="5F5FD3BD"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this sense, the more one learns history, the more liable one is to repeat its mistakes. It’s not that many a Napoleon wants to emulate Alexander the Great; it’s just that rationality of discourse implies the rationality of its sub</w:t>
      </w:r>
      <w:r w:rsidRPr="00CF7AB2">
        <w:rPr>
          <w:rStyle w:val="BodyTextChar"/>
          <w:rFonts w:ascii="Verdana" w:hAnsi="Verdana"/>
          <w:sz w:val="20"/>
        </w:rPr>
        <w:softHyphen/>
        <w:t>ject. While the former may be possible, the latter is not. The net result of this sort of thing is self-deception, which is fine and absorbing for a historian but is often lethal for at least a part of his audience. The case of the German Jews is a good example, and perhaps I should dwell on it a bit. Above all, however, what tricks us into making mistakes by learning from history is our growing numbers. One man’s meat may prove to be a thousand men’s poison, or else it may prove not to be enough. The current discourse on the origins of black slavery is a good illustration.</w:t>
      </w:r>
    </w:p>
    <w:p w14:paraId="7A4ADF2F"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For if you are black, unemployed, live in a ghetto, and shoot drugs, the precision with which your well-heeled re</w:t>
      </w:r>
      <w:r w:rsidRPr="00CF7AB2">
        <w:rPr>
          <w:rStyle w:val="BodyTextChar"/>
          <w:rFonts w:ascii="Verdana" w:hAnsi="Verdana"/>
          <w:sz w:val="20"/>
        </w:rPr>
        <w:softHyphen/>
        <w:t>ligious leader or prominent writer apportions the blame for the origins of black slavery, or the vividness with which they depict the nightmare it was, does little to alter your plight. It may even cross your mind that were it not for that night</w:t>
      </w:r>
      <w:r w:rsidRPr="00CF7AB2">
        <w:rPr>
          <w:rStyle w:val="BodyTextChar"/>
          <w:rFonts w:ascii="Verdana" w:hAnsi="Verdana"/>
          <w:sz w:val="20"/>
        </w:rPr>
        <w:softHyphen/>
        <w:t>mare, neither they nor you would be here now. Perhaps this sounds preferable, but the genetic scramble in such a case would be unlikely to end in oneself. Anyhow, what you need now is a job, also some help to kick the habit. A historian won’t help you with either. In fact, he dilutes your focus by supplanting your resolve with anger. In fact, it may cross your mind—well, it crosses mine—that the entire discourse on who’s to blame might be simply a white man’s ploy to prevent you from acting as radically as your condition re</w:t>
      </w:r>
      <w:r w:rsidRPr="00CF7AB2">
        <w:rPr>
          <w:rStyle w:val="BodyTextChar"/>
          <w:rFonts w:ascii="Verdana" w:hAnsi="Verdana"/>
          <w:sz w:val="20"/>
        </w:rPr>
        <w:softHyphen/>
        <w:t>quires. Which is to say, the more you learn from history, the less efficiently you are likely to act in the present.</w:t>
      </w:r>
    </w:p>
    <w:p w14:paraId="25611300"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a data bank for human negative potential, history has no rival (save, perhaps, the doctrine of original sin, which is, come to think of it, that data’s succinct summary). As a guide, history invariably suffers from numerical inferiority, since history, by definition, doesn’t procreate. As a mental construct, it is also invariably subject to the unwitting fusion of its data with our perception of it. This leaves history as a naked force—an incoherent, nonetheless convincing, an</w:t>
      </w:r>
      <w:r w:rsidRPr="00CF7AB2">
        <w:rPr>
          <w:rStyle w:val="BodyTextChar"/>
          <w:rFonts w:ascii="Verdana" w:hAnsi="Verdana"/>
          <w:sz w:val="20"/>
        </w:rPr>
        <w:softHyphen/>
        <w:t>imistic notion; between a natural phenomenon and Divine Providence; an entity that leaves a trail. As we proceed, we better give up our high Cartesian pretenses and stick to this vague animistic notion for want of anything more clear-cut.</w:t>
      </w:r>
    </w:p>
    <w:p w14:paraId="1822A378"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Let me</w:t>
      </w:r>
      <w:r>
        <w:rPr>
          <w:rStyle w:val="BodyTextChar"/>
          <w:rFonts w:ascii="Verdana" w:hAnsi="Verdana"/>
          <w:sz w:val="20"/>
        </w:rPr>
        <w:t xml:space="preserve"> </w:t>
      </w:r>
      <w:r w:rsidRPr="00CF7AB2">
        <w:rPr>
          <w:rStyle w:val="BodyTextChar"/>
          <w:rFonts w:ascii="Verdana" w:hAnsi="Verdana"/>
          <w:sz w:val="20"/>
        </w:rPr>
        <w:t>repeat: whenever history makes her move, she catches us unawares. And since the general purpose of every society is the safety of all its members, it must first postulate the total arbitrariness of history, and the limited value of any recorded negative experience. Second, it must postulate that, although all its institutions will strive to obtain the greatest measure of safety for all its members, this very quest for stability and security effectively turns society into a sitting duck. And third, that it would, therefore, be prudent for society as a whole, as for its members individually, to develop patterns of motional irregularity (ranging from erratic foreign policy to mobile habitats and shifting residences) to make it difficult for a physical enemy or a metaphysical enemy to take aim. If you don’t wish to be a target, you’ve got to move. “Scatter,” said the Almighty to His chosen people, and at least for a while they did.</w:t>
      </w:r>
    </w:p>
    <w:p w14:paraId="03E5FC7A" w14:textId="77777777" w:rsidR="00B07EC9" w:rsidRPr="00CF7AB2" w:rsidRDefault="00B07EC9" w:rsidP="004359F4">
      <w:pPr>
        <w:suppressAutoHyphens/>
        <w:spacing w:after="0"/>
        <w:ind w:firstLine="283"/>
        <w:jc w:val="both"/>
        <w:rPr>
          <w:rFonts w:ascii="Verdana" w:hAnsi="Verdana"/>
          <w:sz w:val="20"/>
        </w:rPr>
      </w:pPr>
    </w:p>
    <w:p w14:paraId="29138B8B"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One of the greater historical fallacies that I absorbed with my high-school ink was the idea that man evolved from a</w:t>
      </w:r>
      <w:r>
        <w:rPr>
          <w:rStyle w:val="BodyTextChar"/>
          <w:rFonts w:ascii="Verdana" w:hAnsi="Verdana"/>
          <w:sz w:val="20"/>
        </w:rPr>
        <w:t xml:space="preserve"> </w:t>
      </w:r>
      <w:r w:rsidRPr="00CF7AB2">
        <w:rPr>
          <w:rStyle w:val="BodyTextChar"/>
          <w:rFonts w:ascii="Verdana" w:hAnsi="Verdana"/>
          <w:sz w:val="20"/>
        </w:rPr>
        <w:t>nomad to a settler. Such a notion, echoing rather nicely both the intent of the authoritarian state and the realm’s own highly pronounced agrarian makeup, immobilizes one com</w:t>
      </w:r>
      <w:r w:rsidRPr="00CF7AB2">
        <w:rPr>
          <w:rStyle w:val="BodyTextChar"/>
          <w:rFonts w:ascii="Verdana" w:hAnsi="Verdana"/>
          <w:sz w:val="20"/>
        </w:rPr>
        <w:softHyphen/>
        <w:t>pletely. For nailing one down, it is second only to the phys</w:t>
      </w:r>
      <w:r w:rsidRPr="00CF7AB2">
        <w:rPr>
          <w:rStyle w:val="BodyTextChar"/>
          <w:rFonts w:ascii="Verdana" w:hAnsi="Verdana"/>
          <w:sz w:val="20"/>
        </w:rPr>
        <w:softHyphen/>
        <w:t>ical comforts of a city dweller, whose brainchild this notion actually is (and so is the bulk of historical, social, and political theories of the last two centuries: they are all the products of city boys, all are essentially urban constructs).</w:t>
      </w:r>
    </w:p>
    <w:p w14:paraId="6DDD2850"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Let us not go overboard: it is obvious that, for a human animal, settled existence is preferable and, given our grow</w:t>
      </w:r>
      <w:r w:rsidRPr="00CF7AB2">
        <w:rPr>
          <w:rStyle w:val="BodyTextChar"/>
          <w:rFonts w:ascii="Verdana" w:hAnsi="Verdana"/>
          <w:sz w:val="20"/>
        </w:rPr>
        <w:softHyphen/>
        <w:t>ing numbers, inevitable. Yet it is quite possible to imagine a settled man hitting the road when his settlement is sacked by invaders or destroyed by an earthquake, or when he hears the voice of his God promising him a different place. It is equally possible to imagine him doing so when he detects danger. (Isn’t God’s promise an articulation of a danger?) And so a settled man gets moving, becomes a nomad.</w:t>
      </w:r>
    </w:p>
    <w:p w14:paraId="58607694"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easier for him to do this if his mind is not stamped all over with evolutionary and historical taboos; and as far as we know, the ancient historians, to their great credit, pro</w:t>
      </w:r>
      <w:r w:rsidRPr="00CF7AB2">
        <w:rPr>
          <w:rStyle w:val="BodyTextChar"/>
          <w:rFonts w:ascii="Verdana" w:hAnsi="Verdana"/>
          <w:sz w:val="20"/>
        </w:rPr>
        <w:softHyphen/>
        <w:t xml:space="preserve">duced none. Becoming a nomad again, a man could think of himself as imitating history, since history, in his eyes, was itself a nomad. With the advent of </w:t>
      </w:r>
      <w:r w:rsidRPr="00CF7AB2">
        <w:rPr>
          <w:rStyle w:val="BodyTextChar"/>
          <w:rFonts w:ascii="Verdana" w:hAnsi="Verdana"/>
          <w:sz w:val="20"/>
        </w:rPr>
        <w:lastRenderedPageBreak/>
        <w:t xml:space="preserve">Christian monotheism, however, history had to get civilized, which it did. In fact, it became a branch of Christianity itself, which is, after all, a creed of community. It even allowed itself to be subdivided into B.C. and </w:t>
      </w:r>
      <w:r>
        <w:rPr>
          <w:rStyle w:val="BodyTextChar"/>
          <w:rFonts w:ascii="Verdana" w:hAnsi="Verdana"/>
          <w:sz w:val="20"/>
          <w:szCs w:val="24"/>
        </w:rPr>
        <w:t>A.D.,</w:t>
      </w:r>
      <w:r w:rsidRPr="00CF7AB2">
        <w:rPr>
          <w:rStyle w:val="BodyTextChar"/>
          <w:rFonts w:ascii="Verdana" w:hAnsi="Verdana"/>
          <w:sz w:val="20"/>
        </w:rPr>
        <w:t xml:space="preserve"> turning the chronology of the B.C. period into a countdown, from the fossils on, as though those who lived in that period were subtracting their age from birth.</w:t>
      </w:r>
    </w:p>
    <w:p w14:paraId="07B1ECCD"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I’d like to add here—because I may not have another opportunity—that one of the saddest things that ever tran</w:t>
      </w:r>
      <w:r w:rsidRPr="00CF7AB2">
        <w:rPr>
          <w:rStyle w:val="BodyTextChar"/>
          <w:rFonts w:ascii="Verdana" w:hAnsi="Verdana"/>
          <w:sz w:val="20"/>
        </w:rPr>
        <w:softHyphen/>
        <w:t>spired in the course of our civilization was the confrontation between Greco-Roman polytheism and Christian monothe</w:t>
      </w:r>
      <w:r w:rsidRPr="00CF7AB2">
        <w:rPr>
          <w:rStyle w:val="BodyTextChar"/>
          <w:rFonts w:ascii="Verdana" w:hAnsi="Verdana"/>
          <w:sz w:val="20"/>
        </w:rPr>
        <w:softHyphen/>
        <w:t xml:space="preserve">ism, and its known outcome. Neither intellectually nor spiritually was this confrontation really necessary. Man’s metaphysical capacity is substantial enough to allow for the creeds’ coexistence, not to mention fusion. The case of Julian the Apostate is a good example, and so is the case of the Byzantine poets of the first five centuries </w:t>
      </w:r>
      <w:r>
        <w:rPr>
          <w:rStyle w:val="BodyTextChar"/>
          <w:rFonts w:ascii="Verdana" w:hAnsi="Verdana"/>
          <w:sz w:val="20"/>
          <w:szCs w:val="24"/>
        </w:rPr>
        <w:t>A.D.</w:t>
      </w:r>
      <w:r w:rsidRPr="00CF7AB2">
        <w:rPr>
          <w:rStyle w:val="BodyTextChar"/>
          <w:rFonts w:ascii="Verdana" w:hAnsi="Verdana"/>
          <w:sz w:val="20"/>
        </w:rPr>
        <w:t xml:space="preserve"> Poets on the whole provide the best proof of the compatibility, because the centrifugal force of verse often takes them well beyond the confines of either doctrine, and sometimes beyond both. Were the polytheism of the Greeks and Romans and the monotheism of the Christians really that incompatible? Was it necessary to throw out of the window so much of B.C.’s intellectual achievement? (To facilitate the Renaissance later?) Why did what could have been an addition become an alternative? Could it be true that the God of Love could not stomach Euripides or Theocritus, and if He couldn’t, then what kind of stomach did He have? Or was it really, to use the modern parlance, all about power, about taking over the pagan temples to show who was in charge?</w:t>
      </w:r>
    </w:p>
    <w:p w14:paraId="4FD63091"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Perhaps. But the pagans, though defeated, had in their pantheon a M use of History, thereby demonstrating a better grasp of its divinity than their victors. I am afraid that there is no similar figure, no comparable reach, in the entire well- charted passage from Sin to Redemption. I am afraid that the fate of the polytheistic notion of time at the hands of Christian monotheism was the first leg of humanity’s flight from a sense of the arbitrariness of existence into the trap of historical determinism. And I am afraid that it is precisely this universalism in hindsight that reveals the reductive na</w:t>
      </w:r>
      <w:r w:rsidRPr="00CF7AB2">
        <w:rPr>
          <w:rStyle w:val="BodyTextChar"/>
          <w:rFonts w:ascii="Verdana" w:hAnsi="Verdana"/>
          <w:sz w:val="20"/>
        </w:rPr>
        <w:softHyphen/>
        <w:t>ture of monotheism—reductive by definition.</w:t>
      </w:r>
    </w:p>
    <w:p w14:paraId="6711F813" w14:textId="77777777" w:rsidR="00B07EC9" w:rsidRPr="00CF7AB2" w:rsidRDefault="00B07EC9" w:rsidP="004359F4">
      <w:pPr>
        <w:suppressAutoHyphens/>
        <w:spacing w:after="0"/>
        <w:ind w:firstLine="283"/>
        <w:jc w:val="both"/>
        <w:rPr>
          <w:rFonts w:ascii="Verdana" w:hAnsi="Verdana"/>
          <w:sz w:val="20"/>
        </w:rPr>
      </w:pPr>
    </w:p>
    <w:p w14:paraId="3766E318" w14:textId="77777777" w:rsidR="00B07EC9" w:rsidRDefault="00B07EC9" w:rsidP="004359F4">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we’ve broken their statues,</w:t>
      </w:r>
    </w:p>
    <w:p w14:paraId="0122E2AB" w14:textId="77777777" w:rsidR="00B07EC9" w:rsidRDefault="00B07EC9" w:rsidP="004359F4">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we’ve driven them out of their temples,</w:t>
      </w:r>
    </w:p>
    <w:p w14:paraId="325E7085" w14:textId="77777777" w:rsidR="00B07EC9" w:rsidRPr="00CF7AB2" w:rsidRDefault="00B07EC9" w:rsidP="004359F4">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doesn’t mean at all that the gods are dead</w:t>
      </w:r>
      <w:r>
        <w:rPr>
          <w:rStyle w:val="BodyTextChar"/>
          <w:rFonts w:ascii="Verdana" w:hAnsi="Verdana"/>
          <w:sz w:val="20"/>
          <w:szCs w:val="20"/>
        </w:rPr>
        <w:t> . . .</w:t>
      </w:r>
    </w:p>
    <w:p w14:paraId="6C0F7335" w14:textId="77777777" w:rsidR="00B07EC9" w:rsidRPr="00CF7AB2" w:rsidRDefault="00B07EC9" w:rsidP="004359F4">
      <w:pPr>
        <w:suppressAutoHyphens/>
        <w:spacing w:after="0"/>
        <w:ind w:firstLine="283"/>
        <w:jc w:val="both"/>
        <w:rPr>
          <w:rFonts w:ascii="Verdana" w:hAnsi="Verdana"/>
          <w:sz w:val="20"/>
        </w:rPr>
      </w:pPr>
    </w:p>
    <w:p w14:paraId="27C3BC3E"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wrote a Greek poet, Constantine Cavafy, two thousand years after the reduction of history from—let’s think of the young in this room!—stereo to mono. And let us hope that he is right.</w:t>
      </w:r>
    </w:p>
    <w:p w14:paraId="1B195BAF"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yet even before history got secularized—in order to become merely scientific—the damage was done: the up</w:t>
      </w:r>
      <w:r w:rsidRPr="00CF7AB2">
        <w:rPr>
          <w:rStyle w:val="BodyTextChar"/>
          <w:rFonts w:ascii="Verdana" w:hAnsi="Verdana"/>
          <w:sz w:val="20"/>
        </w:rPr>
        <w:softHyphen/>
        <w:t>per hand that was gained by historical determinism in the course of those two thousand years gripped the modern con</w:t>
      </w:r>
      <w:r w:rsidRPr="00CF7AB2">
        <w:rPr>
          <w:rStyle w:val="BodyTextChar"/>
          <w:rFonts w:ascii="Verdana" w:hAnsi="Verdana"/>
          <w:sz w:val="20"/>
        </w:rPr>
        <w:softHyphen/>
        <w:t>science tightly and, it seems, irreversibly. The distinction between time and chronology was lost: first by historians, then by their audience. One can’t blame either of them, since the new creed, having grabbed the places of pagan worship, shanghaied time’s metaphysics, too. And here I</w:t>
      </w:r>
      <w:r w:rsidRPr="00CF7AB2">
        <w:rPr>
          <w:rStyle w:val="BodyTextChar"/>
          <w:rFonts w:ascii="Verdana" w:eastAsia="Arial" w:hAnsi="Verdana" w:cs="Arial"/>
          <w:b/>
          <w:bCs/>
          <w:sz w:val="20"/>
        </w:rPr>
        <w:t xml:space="preserve"> </w:t>
      </w:r>
      <w:r w:rsidRPr="00CF7AB2">
        <w:rPr>
          <w:rStyle w:val="BodyTextChar"/>
          <w:rFonts w:ascii="Verdana" w:hAnsi="Verdana"/>
          <w:sz w:val="20"/>
        </w:rPr>
        <w:t>must go back to where I sidetracked myself with my own aside, to nomads and settlers.</w:t>
      </w:r>
    </w:p>
    <w:p w14:paraId="36DF1527" w14:textId="77777777" w:rsidR="00B07EC9" w:rsidRPr="00CF7AB2" w:rsidRDefault="00B07EC9" w:rsidP="004359F4">
      <w:pPr>
        <w:suppressAutoHyphens/>
        <w:spacing w:after="0"/>
        <w:ind w:firstLine="283"/>
        <w:jc w:val="both"/>
        <w:rPr>
          <w:rFonts w:ascii="Verdana" w:hAnsi="Verdana"/>
          <w:sz w:val="20"/>
        </w:rPr>
      </w:pPr>
    </w:p>
    <w:p w14:paraId="273B4512"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“Scatter,” said God to His chosen people; and for a long time they did. That was actually the second time He spoke to them about moving. Both times they obeyed, albeit re</w:t>
      </w:r>
      <w:r w:rsidRPr="00CF7AB2">
        <w:rPr>
          <w:rStyle w:val="BodyTextChar"/>
          <w:rFonts w:ascii="Verdana" w:hAnsi="Verdana"/>
          <w:sz w:val="20"/>
        </w:rPr>
        <w:softHyphen/>
        <w:t xml:space="preserve">luctantly. The first time, they had been on the road for forty years; the second time, it took them a bit longer, and in a manner of speaking, they are still in progress. The drawback of being in progress for so long is that you start to believe in </w:t>
      </w:r>
      <w:r w:rsidRPr="00CF7AB2">
        <w:rPr>
          <w:rStyle w:val="BodyTextChar"/>
          <w:rFonts w:ascii="Verdana" w:hAnsi="Verdana"/>
          <w:sz w:val="20"/>
        </w:rPr>
        <w:lastRenderedPageBreak/>
        <w:t>progress: if not in your own, then in history’s. It is about the latter that I’d like to comment here, on one of its recent examples; but first I must issue a few disclaimers.</w:t>
      </w:r>
    </w:p>
    <w:p w14:paraId="27D59D74"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historical literature about the fate of Jews in this century is vast, and one shouldn’t aspire to add anything qualitatively new to it. What prompts the following remarks is precisely the abundance of that history, not its want. More pointedly, the reason for these remarks is a few books on the subject that recently came my way. They all deal with</w:t>
      </w:r>
      <w:r>
        <w:rPr>
          <w:rStyle w:val="BodyTextChar"/>
          <w:rFonts w:ascii="Verdana" w:hAnsi="Verdana"/>
          <w:sz w:val="20"/>
        </w:rPr>
        <w:t xml:space="preserve"> </w:t>
      </w:r>
      <w:r w:rsidRPr="00CF7AB2">
        <w:rPr>
          <w:rStyle w:val="BodyTextChar"/>
          <w:rFonts w:ascii="Verdana" w:hAnsi="Verdana"/>
          <w:sz w:val="20"/>
        </w:rPr>
        <w:t>the whats and the whys of the wrong that was done to the Jews by the Third Reich; and they are all written by profes</w:t>
      </w:r>
      <w:r w:rsidRPr="00CF7AB2">
        <w:rPr>
          <w:rStyle w:val="BodyTextChar"/>
          <w:rFonts w:ascii="Verdana" w:hAnsi="Verdana"/>
          <w:sz w:val="20"/>
        </w:rPr>
        <w:softHyphen/>
        <w:t>sional historians. Like many books before them, they are rich in information and hypothesis; moreover, like many that will no doubt come after them, they are stronger on objec</w:t>
      </w:r>
      <w:r w:rsidRPr="00CF7AB2">
        <w:rPr>
          <w:rStyle w:val="BodyTextChar"/>
          <w:rFonts w:ascii="Verdana" w:hAnsi="Verdana"/>
          <w:sz w:val="20"/>
        </w:rPr>
        <w:softHyphen/>
        <w:t>tivity than on passion. This, one should hope, expresses the authors’ professionalism as historians rather than the distance from these events accorded to the authors by their own age. Objectivity, of course, is the motto of every historian, and that’s why passion is normally ruled out—since, as the saying goes, it blinds.</w:t>
      </w:r>
    </w:p>
    <w:p w14:paraId="490643C8"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One wonders, however, whether a passionate response, in such a context, wouldn’t amount to a greater human ob</w:t>
      </w:r>
      <w:r w:rsidRPr="00CF7AB2">
        <w:rPr>
          <w:rStyle w:val="BodyTextChar"/>
          <w:rFonts w:ascii="Verdana" w:hAnsi="Verdana"/>
          <w:sz w:val="20"/>
        </w:rPr>
        <w:softHyphen/>
        <w:t>jectivity, for disembodied intelligence carries no weight. Moreover, one wonders whether in such a context the ab</w:t>
      </w:r>
      <w:r w:rsidRPr="00CF7AB2">
        <w:rPr>
          <w:rStyle w:val="BodyTextChar"/>
          <w:rFonts w:ascii="Verdana" w:hAnsi="Verdana"/>
          <w:sz w:val="20"/>
        </w:rPr>
        <w:softHyphen/>
        <w:t>sence of passion is nothing but a stylistic device to which writers resort in order to emulate the historian or, for that matter, the modern cultural stereotype, a cool, thin-lipped, soft-spoken character inhabiting the silver screen for the better part of the century in a sleuthing or slaying capacity. If that’s the case—and all too often the imitation is too con</w:t>
      </w:r>
      <w:r w:rsidRPr="00CF7AB2">
        <w:rPr>
          <w:rStyle w:val="BodyTextChar"/>
          <w:rFonts w:ascii="Verdana" w:hAnsi="Verdana"/>
          <w:sz w:val="20"/>
        </w:rPr>
        <w:softHyphen/>
        <w:t>vincing to feel otherwise—then history, which used to be the source of ethical education in society, has indeed come full circle.</w:t>
      </w:r>
    </w:p>
    <w:p w14:paraId="106324EE"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the end, however, most of these thin-lipped folk of the silver screen pull the trigger. A modern historian doesn’t do anything of the sort, and he would cite science as the explanation for his reserve. In other words, the quest for objectivity of interpretation takes precedence over the sen</w:t>
      </w:r>
      <w:r w:rsidRPr="00CF7AB2">
        <w:rPr>
          <w:rStyle w:val="BodyTextChar"/>
          <w:rFonts w:ascii="Verdana" w:hAnsi="Verdana"/>
          <w:sz w:val="20"/>
        </w:rPr>
        <w:softHyphen/>
        <w:t>timents caused by what is interpreted. One wonders, then, what is the significance of interpretation: Is history simply an instrument for measuring how far we can remove our</w:t>
      </w:r>
      <w:r w:rsidRPr="00CF7AB2">
        <w:rPr>
          <w:rStyle w:val="BodyTextChar"/>
          <w:rFonts w:ascii="Verdana" w:hAnsi="Verdana"/>
          <w:sz w:val="20"/>
        </w:rPr>
        <w:softHyphen/>
        <w:t>selves from events, a sort of anti-thermometer? And does it</w:t>
      </w:r>
      <w:r>
        <w:rPr>
          <w:rStyle w:val="BodyTextChar"/>
          <w:rFonts w:ascii="Verdana" w:hAnsi="Verdana"/>
          <w:sz w:val="20"/>
        </w:rPr>
        <w:t xml:space="preserve"> </w:t>
      </w:r>
      <w:r w:rsidRPr="00CF7AB2">
        <w:rPr>
          <w:rStyle w:val="BodyTextChar"/>
          <w:rFonts w:ascii="Verdana" w:hAnsi="Verdana"/>
          <w:sz w:val="20"/>
        </w:rPr>
        <w:t>exist independently, or only insofar as historians come and go, i.e., solely for their sake?</w:t>
      </w:r>
    </w:p>
    <w:p w14:paraId="468C66B3" w14:textId="77777777" w:rsidR="00B07EC9" w:rsidRPr="00CF7AB2" w:rsidRDefault="00B07EC9" w:rsidP="004359F4">
      <w:pPr>
        <w:suppressAutoHyphens/>
        <w:spacing w:after="0"/>
        <w:ind w:firstLine="283"/>
        <w:jc w:val="both"/>
        <w:rPr>
          <w:rFonts w:ascii="Verdana" w:hAnsi="Verdana"/>
          <w:sz w:val="20"/>
        </w:rPr>
      </w:pPr>
    </w:p>
    <w:p w14:paraId="134CA943"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I’d rather let these questions hang for a while; otherwise I’ll never get through with my disclaimers, let alone with what they are meant to precede. To begin with, I’d like to point out that the following remarks are in no way motivated by my identification with the victims. Of course, I am a Jew: by birth, by blood, but not—alas, perhaps—by upbringing. That would be enough for a sense of affinity, except that I was born when they, those Jews, were dying, and I was not very cognizant of their fate until quite late into my teens, being pretty much absorbed by what was happening to my race, and to many others, in my own country, which had just defeated Germany, losing in the process some 20 million of its own. In other words, I had plenty to identify with as it was.</w:t>
      </w:r>
    </w:p>
    <w:p w14:paraId="7F0626B5"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I mention this not because I have caught the bug of historical objectivity. On the contrary, I speak from a position of strong subjectivity. As a matter of fact, I wish it were greater, since for me what happened to the Jews in the Third Reich is not history: their annihilation overlapped with the burgeoning of my existence. I enjoyed the dubious comfort of being a witless babe, bubbling sweet bubbles while they were going up in smoke in the crematoria and the gas chambers of what is known these days as Eastern or Central Europe, but what I and some friends of mine still regard as Western Asia. I am also cognizant that, had it not been for those 20 million dead Russians, I could have iden</w:t>
      </w:r>
      <w:r w:rsidRPr="00CF7AB2">
        <w:rPr>
          <w:rStyle w:val="BodyTextChar"/>
          <w:rFonts w:ascii="Verdana" w:hAnsi="Verdana"/>
          <w:sz w:val="20"/>
        </w:rPr>
        <w:softHyphen/>
        <w:t>tified with the Jewish victims of the Third Reich in more ways than one.</w:t>
      </w:r>
    </w:p>
    <w:p w14:paraId="2A07F6E0"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So if I sometimes peruse books on this subject, I do it largely for egotistical reasons: to get a more stereoscopic picture of what amounts to my life, of the world in which I</w:t>
      </w:r>
      <w:r>
        <w:rPr>
          <w:rStyle w:val="BodyTextChar"/>
          <w:rFonts w:ascii="Verdana" w:hAnsi="Verdana"/>
          <w:sz w:val="20"/>
        </w:rPr>
        <w:t xml:space="preserve"> </w:t>
      </w:r>
      <w:r w:rsidRPr="00CF7AB2">
        <w:rPr>
          <w:rStyle w:val="BodyTextChar"/>
          <w:rFonts w:ascii="Verdana" w:hAnsi="Verdana"/>
          <w:sz w:val="20"/>
        </w:rPr>
        <w:t>found myself a half century ago. Because of the close, indeed overlapping parallelism of the German and Soviet political systems, and because the penal iconography of the latter is rather scarce, I stare at the piles of corpses in my life’s background with, I believe, a double intensity. How, I ask myself, did they get there?</w:t>
      </w:r>
    </w:p>
    <w:p w14:paraId="0E96B270" w14:textId="77777777" w:rsidR="00B07EC9" w:rsidRPr="00CF7AB2" w:rsidRDefault="00B07EC9" w:rsidP="004359F4">
      <w:pPr>
        <w:suppressAutoHyphens/>
        <w:spacing w:after="0"/>
        <w:ind w:firstLine="283"/>
        <w:jc w:val="both"/>
        <w:rPr>
          <w:rFonts w:ascii="Verdana" w:hAnsi="Verdana"/>
          <w:sz w:val="20"/>
        </w:rPr>
      </w:pPr>
    </w:p>
    <w:p w14:paraId="46483BF8"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answer is breathtakingly simple: because they were there. In order to become a victim, one ought to be present at the scene of the crime. In order to be present at the scene of the crime, one ought either to disbelieve its probability or to be unable or unwilling to flee the premises. Of the three, it is the last, I’m afraid, that played the major role.</w:t>
      </w:r>
    </w:p>
    <w:p w14:paraId="5C31654B"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origins of this unwillingness to move are worth pondering. This has been done many times over, yet less than the origins of the crime. This is so partly because the origins of the crime appear, to historians, to be an easier proposition. It is all ascribed to German anti-Semitism, whose lineage is habitually traced, with varying degrees of enterprise, to Wagner, Luther, and further down to Eras</w:t>
      </w:r>
      <w:r w:rsidRPr="00CF7AB2">
        <w:rPr>
          <w:rStyle w:val="BodyTextChar"/>
          <w:rFonts w:ascii="Verdana" w:hAnsi="Verdana"/>
          <w:sz w:val="20"/>
        </w:rPr>
        <w:softHyphen/>
        <w:t>mus, the Middle Ages, and generally to the Jews-versus-gentiles business. Some historians are prepared to take their audience all the way back to dark Teutonic urges, straight into Valhalla. Others are content with the aftermath of World War I, the Peace of Versailles, and Jewish “usury” against the backdrop of Germany’s economic collapse. Still others lump all these things together, adding at times an interesting wrinkle, such as linking the virulence of the Nazis’ anti- Jewish propaganda, rich in vermin imagery and references to Jewish hygienic habits, to the history of epidemics and their relatively small toll among the Jews in comparison to the main ethnic stock.</w:t>
      </w:r>
    </w:p>
    <w:p w14:paraId="6E07E408"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They are Lamarckians, these historians; they are not Darwinists. They appear to believe that affiliation to a creed</w:t>
      </w:r>
      <w:r>
        <w:rPr>
          <w:rStyle w:val="BodyTextChar"/>
          <w:rFonts w:ascii="Verdana" w:hAnsi="Verdana"/>
          <w:sz w:val="20"/>
        </w:rPr>
        <w:t xml:space="preserve"> </w:t>
      </w:r>
      <w:r w:rsidRPr="00CF7AB2">
        <w:rPr>
          <w:rStyle w:val="BodyTextChar"/>
          <w:rFonts w:ascii="Verdana" w:hAnsi="Verdana"/>
          <w:sz w:val="20"/>
        </w:rPr>
        <w:t>can be passed on genetically (thus approximating one of Ju</w:t>
      </w:r>
      <w:r w:rsidRPr="00CF7AB2">
        <w:rPr>
          <w:rStyle w:val="BodyTextChar"/>
          <w:rFonts w:ascii="Verdana" w:hAnsi="Verdana"/>
          <w:sz w:val="20"/>
        </w:rPr>
        <w:softHyphen/>
        <w:t>daism’s main tenets), that the same goes for attendant prej</w:t>
      </w:r>
      <w:r w:rsidRPr="00CF7AB2">
        <w:rPr>
          <w:rStyle w:val="BodyTextChar"/>
          <w:rFonts w:ascii="Verdana" w:hAnsi="Verdana"/>
          <w:sz w:val="20"/>
        </w:rPr>
        <w:softHyphen/>
        <w:t>udices, intellectual patterns, and so on. They are biological determinists moonlighting as historians. Hence a straight line out of Valhalla into the bunker.</w:t>
      </w:r>
    </w:p>
    <w:p w14:paraId="3FC3F56D"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Had the line been that straight, however, the bunker could have been averted. The history of a nation, like the history of an individual, consists more of what’s forgotten than of what’s remembered. As a process, history is not so much an accretion as a loss: otherwise we wouldn’t need historians in the first place. Not to mention that the ability to retain doesn’t translate itself into the ability to predict. Whenever this is done—by a philosopher or a political thinker—the translation almost invariably turns into a blue</w:t>
      </w:r>
      <w:r w:rsidRPr="00CF7AB2">
        <w:rPr>
          <w:rStyle w:val="BodyTextChar"/>
          <w:rFonts w:ascii="Verdana" w:hAnsi="Verdana"/>
          <w:sz w:val="20"/>
        </w:rPr>
        <w:softHyphen/>
        <w:t>print for a new society. The rise, the crescendo, and the fall of the Third Reich, as much as those of the Communist system in Russia, was not averted precisely because it was not expected.</w:t>
      </w:r>
    </w:p>
    <w:p w14:paraId="5BAB2D70"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question is, can the translation be blamed for the quality of the original? The answer, I am tempted to say, is yes; and let me succumb to this temptation. Both the German and the Russian versions of socialism sprang from the same late-nineteenth-century philosophical root, which used the shelves of the British Museum for fuel and Darwinian thought for a model. (Hence their subsequent confrontation, which wasn’t a battle between good and evil but a clash of two demons—a family feud, if you will.)</w:t>
      </w:r>
    </w:p>
    <w:p w14:paraId="50FB0F88"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 earlier fertilizer, of course, was the splendid French showing in the eighteenth century, which kept the Germans flat on their back militarily and intellectually long enough to develop a national inferiority complex, which took the form of German nationalism and the idea of German </w:t>
      </w:r>
      <w:r w:rsidRPr="00CF7AB2">
        <w:rPr>
          <w:rStyle w:val="BodyTextChar"/>
          <w:rFonts w:ascii="Verdana" w:hAnsi="Verdana"/>
          <w:i/>
          <w:iCs/>
          <w:sz w:val="20"/>
          <w:lang w:eastAsia="de-DE" w:bidi="de-DE"/>
        </w:rPr>
        <w:t>Kultur.</w:t>
      </w:r>
      <w:r w:rsidRPr="00CF7AB2">
        <w:rPr>
          <w:rStyle w:val="BodyTextChar"/>
          <w:rFonts w:ascii="Verdana" w:hAnsi="Verdana"/>
          <w:sz w:val="20"/>
          <w:lang w:eastAsia="de-DE" w:bidi="de-DE"/>
        </w:rPr>
        <w:t xml:space="preserve"> </w:t>
      </w:r>
      <w:r w:rsidRPr="00CF7AB2">
        <w:rPr>
          <w:rStyle w:val="BodyTextChar"/>
          <w:rFonts w:ascii="Verdana" w:hAnsi="Verdana"/>
          <w:sz w:val="20"/>
        </w:rPr>
        <w:t xml:space="preserve">With its incoherence of elevation, German Romantic idealism, initially </w:t>
      </w:r>
      <w:r w:rsidRPr="00CF7AB2">
        <w:rPr>
          <w:rStyle w:val="BodyTextChar"/>
          <w:rFonts w:ascii="Verdana" w:hAnsi="Verdana"/>
          <w:sz w:val="20"/>
          <w:lang w:eastAsia="fr-FR" w:bidi="fr-FR"/>
        </w:rPr>
        <w:t xml:space="preserve">a </w:t>
      </w:r>
      <w:r w:rsidRPr="00CF7AB2">
        <w:rPr>
          <w:rStyle w:val="BodyTextChar"/>
          <w:rFonts w:ascii="Verdana" w:hAnsi="Verdana"/>
          <w:i/>
          <w:iCs/>
          <w:sz w:val="20"/>
          <w:lang w:eastAsia="fr-FR" w:bidi="fr-FR"/>
        </w:rPr>
        <w:t>cri de coeur,</w:t>
      </w:r>
      <w:r w:rsidRPr="00CF7AB2">
        <w:rPr>
          <w:rStyle w:val="BodyTextChar"/>
          <w:rFonts w:ascii="Verdana" w:hAnsi="Verdana"/>
          <w:sz w:val="20"/>
          <w:lang w:eastAsia="fr-FR" w:bidi="fr-FR"/>
        </w:rPr>
        <w:t xml:space="preserve"> </w:t>
      </w:r>
      <w:r w:rsidRPr="00CF7AB2">
        <w:rPr>
          <w:rStyle w:val="BodyTextChar"/>
          <w:rFonts w:ascii="Verdana" w:hAnsi="Verdana"/>
          <w:sz w:val="20"/>
        </w:rPr>
        <w:t xml:space="preserve">pretty soon turned into a </w:t>
      </w:r>
      <w:r w:rsidRPr="00CF7AB2">
        <w:rPr>
          <w:rStyle w:val="BodyTextChar"/>
          <w:rFonts w:ascii="Verdana" w:hAnsi="Verdana"/>
          <w:i/>
          <w:iCs/>
          <w:sz w:val="20"/>
        </w:rPr>
        <w:t>cri de</w:t>
      </w:r>
      <w:r>
        <w:rPr>
          <w:rStyle w:val="BodyTextChar"/>
          <w:rFonts w:ascii="Verdana" w:hAnsi="Verdana"/>
          <w:i/>
          <w:iCs/>
          <w:sz w:val="20"/>
        </w:rPr>
        <w:t xml:space="preserve"> </w:t>
      </w:r>
      <w:r w:rsidRPr="00CF7AB2">
        <w:rPr>
          <w:rStyle w:val="BodyTextChar"/>
          <w:rFonts w:ascii="Verdana" w:hAnsi="Verdana"/>
          <w:i/>
          <w:iCs/>
          <w:sz w:val="20"/>
        </w:rPr>
        <w:t>guerre,</w:t>
      </w:r>
      <w:r w:rsidRPr="00CF7AB2">
        <w:rPr>
          <w:rStyle w:val="BodyTextChar"/>
          <w:rFonts w:ascii="Verdana" w:hAnsi="Verdana"/>
          <w:sz w:val="20"/>
        </w:rPr>
        <w:t xml:space="preserve"> especially during the Industrial Revolution, since the British were better at it.</w:t>
      </w:r>
    </w:p>
    <w:p w14:paraId="4A8FB92F"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Consider, then, Russia, which had even less to show for itself than Germany, and not only in the eighteenth cen</w:t>
      </w:r>
      <w:r w:rsidRPr="00CF7AB2">
        <w:rPr>
          <w:rStyle w:val="BodyTextChar"/>
          <w:rFonts w:ascii="Verdana" w:hAnsi="Verdana"/>
          <w:sz w:val="20"/>
        </w:rPr>
        <w:softHyphen/>
        <w:t xml:space="preserve">tury. It was a case of an inferiority complex squared, since it proceeded to emulate Germany in every conceivable— no, available—manner, producing along the way its own Slavophiles and the notion of a specifically Russian soul, as though the Almighty distributed souls geographically. To put it cutely, the </w:t>
      </w:r>
      <w:r w:rsidRPr="00CF7AB2">
        <w:rPr>
          <w:rStyle w:val="BodyTextChar"/>
          <w:rFonts w:ascii="Verdana" w:hAnsi="Verdana"/>
          <w:i/>
          <w:iCs/>
          <w:sz w:val="20"/>
          <w:lang w:eastAsia="fr-FR" w:bidi="fr-FR"/>
        </w:rPr>
        <w:t>cri de coeur</w:t>
      </w:r>
      <w:r w:rsidRPr="00CF7AB2">
        <w:rPr>
          <w:rStyle w:val="BodyTextChar"/>
          <w:rFonts w:ascii="Verdana" w:hAnsi="Verdana"/>
          <w:sz w:val="20"/>
          <w:lang w:eastAsia="fr-FR" w:bidi="fr-FR"/>
        </w:rPr>
        <w:t xml:space="preserve"> </w:t>
      </w:r>
      <w:r w:rsidRPr="00CF7AB2">
        <w:rPr>
          <w:rStyle w:val="BodyTextChar"/>
          <w:rFonts w:ascii="Verdana" w:hAnsi="Verdana"/>
          <w:sz w:val="20"/>
        </w:rPr>
        <w:t xml:space="preserve">and the </w:t>
      </w:r>
      <w:r w:rsidRPr="00CF7AB2">
        <w:rPr>
          <w:rStyle w:val="BodyTextChar"/>
          <w:rFonts w:ascii="Verdana" w:hAnsi="Verdana"/>
          <w:i/>
          <w:iCs/>
          <w:sz w:val="20"/>
        </w:rPr>
        <w:t>cri de guerre</w:t>
      </w:r>
      <w:r w:rsidRPr="00CF7AB2">
        <w:rPr>
          <w:rStyle w:val="BodyTextChar"/>
          <w:rFonts w:ascii="Verdana" w:hAnsi="Verdana"/>
          <w:sz w:val="20"/>
        </w:rPr>
        <w:t xml:space="preserve"> merged in the Russian ear into </w:t>
      </w:r>
      <w:r w:rsidRPr="00CF7AB2">
        <w:rPr>
          <w:rStyle w:val="BodyTextChar"/>
          <w:rFonts w:ascii="Verdana" w:hAnsi="Verdana"/>
          <w:i/>
          <w:iCs/>
          <w:sz w:val="20"/>
          <w:lang w:eastAsia="fr-FR" w:bidi="fr-FR"/>
        </w:rPr>
        <w:t xml:space="preserve">le </w:t>
      </w:r>
      <w:r w:rsidRPr="00CF7AB2">
        <w:rPr>
          <w:rStyle w:val="BodyTextChar"/>
          <w:rFonts w:ascii="Verdana" w:hAnsi="Verdana"/>
          <w:i/>
          <w:iCs/>
          <w:sz w:val="20"/>
        </w:rPr>
        <w:t>dernier cri;</w:t>
      </w:r>
      <w:r w:rsidRPr="00CF7AB2">
        <w:rPr>
          <w:rStyle w:val="BodyTextChar"/>
          <w:rFonts w:ascii="Verdana" w:hAnsi="Verdana"/>
          <w:sz w:val="20"/>
        </w:rPr>
        <w:t xml:space="preserve"> and it was out of an inferiority complex, out of provincialism—always keen on the latest—that Lenin set out to read Marx, not out of a perceived necessity. Capitalism in Russia, after all, was just raising its first smokestacks; the country was predominantly agrarian.</w:t>
      </w:r>
    </w:p>
    <w:p w14:paraId="06C025AE"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then you can hardly reproach either one of them for not reading other philosophers—say, Vico. The mental pattern of the epoch was linear, sequential, evolutionary. One falls into that pattern unwittingly, tracing a crime to its origins rather than to its purpose. Yeah, we are that kind of hound: we would rather sniff out ethics than demography. The real paradox of history is that its linear pattern, a product of the self-preservation instinct, dulls this very instinct. Be that as it may, however, both the German and the Russian versions of socialism were informed by precisely this pattern, by the principle of historical determinism echoing, after a fashion, the quest for the Just City.</w:t>
      </w:r>
    </w:p>
    <w:p w14:paraId="14724361"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Literally so, one must add. For the chief trait of the his</w:t>
      </w:r>
      <w:r w:rsidRPr="00CF7AB2">
        <w:rPr>
          <w:rStyle w:val="BodyTextChar"/>
          <w:rFonts w:ascii="Verdana" w:hAnsi="Verdana"/>
          <w:sz w:val="20"/>
        </w:rPr>
        <w:softHyphen/>
        <w:t>torical determinist is his disdain for the peasantry, and the setting of his sights on the working class. (That is why in Rus</w:t>
      </w:r>
      <w:r w:rsidRPr="00CF7AB2">
        <w:rPr>
          <w:rStyle w:val="BodyTextChar"/>
          <w:rFonts w:ascii="Verdana" w:hAnsi="Verdana"/>
          <w:sz w:val="20"/>
        </w:rPr>
        <w:softHyphen/>
        <w:t>sia they still refuse to decollectivize agriculture, putting—lit</w:t>
      </w:r>
      <w:r w:rsidRPr="00CF7AB2">
        <w:rPr>
          <w:rStyle w:val="BodyTextChar"/>
          <w:rFonts w:ascii="Verdana" w:hAnsi="Verdana"/>
          <w:sz w:val="20"/>
        </w:rPr>
        <w:softHyphen/>
        <w:t>erally, again—the cart before the horse.) A by-product of the Industrial Revolution, the socialist idea was essentially</w:t>
      </w:r>
      <w:r>
        <w:rPr>
          <w:rStyle w:val="BodyTextChar"/>
          <w:rFonts w:ascii="Verdana" w:hAnsi="Verdana"/>
          <w:sz w:val="20"/>
        </w:rPr>
        <w:t xml:space="preserve"> </w:t>
      </w:r>
      <w:r w:rsidRPr="00CF7AB2">
        <w:rPr>
          <w:rStyle w:val="BodyTextChar"/>
          <w:rFonts w:ascii="Verdana" w:hAnsi="Verdana"/>
          <w:sz w:val="20"/>
        </w:rPr>
        <w:t xml:space="preserve">an urban construct, generated by deracinated minds that identified society with the city. Small wonder, then, that this brainchild of mental </w:t>
      </w:r>
      <w:r w:rsidRPr="00CF7AB2">
        <w:rPr>
          <w:rStyle w:val="BodyTextChar"/>
          <w:rFonts w:ascii="Verdana" w:hAnsi="Verdana"/>
          <w:i/>
          <w:iCs/>
          <w:sz w:val="20"/>
        </w:rPr>
        <w:t>lumpen,</w:t>
      </w:r>
      <w:r w:rsidRPr="00CF7AB2">
        <w:rPr>
          <w:rStyle w:val="BodyTextChar"/>
          <w:rFonts w:ascii="Verdana" w:hAnsi="Verdana"/>
          <w:sz w:val="20"/>
        </w:rPr>
        <w:t xml:space="preserve"> maturing with an enviable logic into the authoritarian state, amplified the basest prop</w:t>
      </w:r>
      <w:r w:rsidRPr="00CF7AB2">
        <w:rPr>
          <w:rStyle w:val="BodyTextChar"/>
          <w:rFonts w:ascii="Verdana" w:hAnsi="Verdana"/>
          <w:sz w:val="20"/>
        </w:rPr>
        <w:softHyphen/>
        <w:t>erties of the urban lower middle class, anti-Semitism first of all.</w:t>
      </w:r>
    </w:p>
    <w:p w14:paraId="7E8F986E"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had little to do with the religious or cultural his</w:t>
      </w:r>
      <w:r w:rsidRPr="00CF7AB2">
        <w:rPr>
          <w:rStyle w:val="BodyTextChar"/>
          <w:rFonts w:ascii="Verdana" w:hAnsi="Verdana"/>
          <w:sz w:val="20"/>
        </w:rPr>
        <w:softHyphen/>
        <w:t>tories of Germany or Russia, which couldn’t be more dif</w:t>
      </w:r>
      <w:r w:rsidRPr="00CF7AB2">
        <w:rPr>
          <w:rStyle w:val="BodyTextChar"/>
          <w:rFonts w:ascii="Verdana" w:hAnsi="Verdana"/>
          <w:sz w:val="20"/>
        </w:rPr>
        <w:softHyphen/>
        <w:t>ferent. For all the vehemence of Luther’s rhetoric, I honestly doubt that his largely illiterate audience bothered much about the substance of his ecclesiastical distinctions; and as for Russia, Ivan the Terrible in his correspondence with the runaway Prince Kurbsky proudly and sincerely proclaimed himself a Jew and Russia, Israel. (On the whole, had religious matters really been the root of modern anti-Semitism, its ugliest head would have been not German but Italian, Span</w:t>
      </w:r>
      <w:r w:rsidRPr="00CF7AB2">
        <w:rPr>
          <w:rStyle w:val="BodyTextChar"/>
          <w:rFonts w:ascii="Verdana" w:hAnsi="Verdana"/>
          <w:sz w:val="20"/>
        </w:rPr>
        <w:softHyphen/>
        <w:t>ish, or French.) And so for German revolutionary thought of the nineteenth century, no matter how wildly it oscillated on the subject of the Jewish expulsion or Jewish emanci</w:t>
      </w:r>
      <w:r w:rsidRPr="00CF7AB2">
        <w:rPr>
          <w:rStyle w:val="BodyTextChar"/>
          <w:rFonts w:ascii="Verdana" w:hAnsi="Verdana"/>
          <w:sz w:val="20"/>
        </w:rPr>
        <w:softHyphen/>
        <w:t>pation, the legal result, in 1871, was the latter.</w:t>
      </w:r>
    </w:p>
    <w:p w14:paraId="65D7BD01" w14:textId="77777777" w:rsidR="00B07EC9" w:rsidRPr="00CF7AB2" w:rsidRDefault="00B07EC9" w:rsidP="004359F4">
      <w:pPr>
        <w:suppressAutoHyphens/>
        <w:spacing w:after="0"/>
        <w:ind w:firstLine="283"/>
        <w:jc w:val="both"/>
        <w:rPr>
          <w:rFonts w:ascii="Verdana" w:hAnsi="Verdana"/>
          <w:sz w:val="20"/>
        </w:rPr>
      </w:pPr>
    </w:p>
    <w:p w14:paraId="207AB1BF"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Now, first and foremost, what happened to the Jews in the Third Reich had to do with the creation of a brand-new state, a new social and existential order. The thousand-year-long Reich had a distinctly millenarian, </w:t>
      </w:r>
      <w:r w:rsidRPr="00CF7AB2">
        <w:rPr>
          <w:rStyle w:val="BodyTextChar"/>
          <w:rFonts w:ascii="Verdana" w:hAnsi="Verdana"/>
          <w:sz w:val="20"/>
          <w:lang w:eastAsia="fr-FR" w:bidi="fr-FR"/>
        </w:rPr>
        <w:t xml:space="preserve">fin-de-siècle </w:t>
      </w:r>
      <w:r w:rsidRPr="00CF7AB2">
        <w:rPr>
          <w:rStyle w:val="BodyTextChar"/>
          <w:rFonts w:ascii="Verdana" w:hAnsi="Verdana"/>
          <w:sz w:val="20"/>
        </w:rPr>
        <w:t xml:space="preserve">ring to it— a bit premature, perhaps, since the </w:t>
      </w:r>
      <w:r w:rsidRPr="00CF7AB2">
        <w:rPr>
          <w:rStyle w:val="BodyTextChar"/>
          <w:rFonts w:ascii="Verdana" w:hAnsi="Verdana"/>
          <w:sz w:val="20"/>
          <w:lang w:eastAsia="fr-FR" w:bidi="fr-FR"/>
        </w:rPr>
        <w:t xml:space="preserve">siècle </w:t>
      </w:r>
      <w:r w:rsidRPr="00CF7AB2">
        <w:rPr>
          <w:rStyle w:val="BodyTextChar"/>
          <w:rFonts w:ascii="Verdana" w:hAnsi="Verdana"/>
          <w:sz w:val="20"/>
        </w:rPr>
        <w:t>was only the nine</w:t>
      </w:r>
      <w:r w:rsidRPr="00CF7AB2">
        <w:rPr>
          <w:rStyle w:val="BodyTextChar"/>
          <w:rFonts w:ascii="Verdana" w:hAnsi="Verdana"/>
          <w:sz w:val="20"/>
        </w:rPr>
        <w:softHyphen/>
        <w:t>teenth. But postwar Germany’s political and economic rub</w:t>
      </w:r>
      <w:r w:rsidRPr="00CF7AB2">
        <w:rPr>
          <w:rStyle w:val="BodyTextChar"/>
          <w:rFonts w:ascii="Verdana" w:hAnsi="Verdana"/>
          <w:sz w:val="20"/>
        </w:rPr>
        <w:softHyphen/>
        <w:t>ble was a time as good as any for starting from scratch. (And history, as we remarked, doesn’t set much store by human chronology.) Hence the emphasis on youth, the cult of the young body, the purity-of-the-race spiel. Social utopianism meets blond bestia.</w:t>
      </w:r>
    </w:p>
    <w:p w14:paraId="1E01B2D2"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offspring of such an encounter, naturally, was social bestiality. For nothing could be less utopian than an Ortho</w:t>
      </w:r>
      <w:r w:rsidRPr="00CF7AB2">
        <w:rPr>
          <w:rStyle w:val="BodyTextChar"/>
          <w:rFonts w:ascii="Verdana" w:hAnsi="Verdana"/>
          <w:sz w:val="20"/>
        </w:rPr>
        <w:softHyphen/>
        <w:t xml:space="preserve">dox—or even an emancipated and secularized—Jew; and nothing could be less blond. One way to build something new is to raze the old, and the New Germany was that sort of project. The atheistic, future-bound, thousand-year-long Reich couldn’t regard three-thousand-year-old Judaism as anything but an obstacle and an enemy. Chronologically, ethically, and aesthetically, anti-Semitism just came in handy; the aim was larger than the means—larger, I am </w:t>
      </w:r>
      <w:r w:rsidRPr="00CF7AB2">
        <w:rPr>
          <w:rStyle w:val="BodyTextChar"/>
          <w:rFonts w:ascii="Verdana" w:hAnsi="Verdana"/>
          <w:sz w:val="20"/>
        </w:rPr>
        <w:lastRenderedPageBreak/>
        <w:t>tempted to add, than the targets. The aim was nothing less than history, nothing less than remaking the world in Ger</w:t>
      </w:r>
      <w:r w:rsidRPr="00CF7AB2">
        <w:rPr>
          <w:rStyle w:val="BodyTextChar"/>
          <w:rFonts w:ascii="Verdana" w:hAnsi="Verdana"/>
          <w:sz w:val="20"/>
        </w:rPr>
        <w:softHyphen/>
        <w:t>many’s image; and the means were political. Presumably their concreteness, as well as that of their targets, was what made the aim less abstract. For an idea, the attraction of its victim lies in the latter’s helping it to acquire mortal features.</w:t>
      </w:r>
    </w:p>
    <w:p w14:paraId="4235F23D"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question is, Why didn’t they run? They didn’t run because, first, the dilemma of exodus versus assimilation was not new, and fairly recently, only a few generations before, in 1871, it seemed to have been solved by the emancipation laws. Second, because the Weimar Republic’s constitution was still binding and the air of its freedoms was still in their lungs, as well as in their pockets. Third, because the Nazis at the time could be regarded as an understandable discom</w:t>
      </w:r>
      <w:r w:rsidRPr="00CF7AB2">
        <w:rPr>
          <w:rStyle w:val="BodyTextChar"/>
          <w:rFonts w:ascii="Verdana" w:hAnsi="Verdana"/>
          <w:sz w:val="20"/>
        </w:rPr>
        <w:softHyphen/>
        <w:t>fort, as a party of reconstruction, and their anti-Semitic out</w:t>
      </w:r>
      <w:r w:rsidRPr="00CF7AB2">
        <w:rPr>
          <w:rStyle w:val="BodyTextChar"/>
          <w:rFonts w:ascii="Verdana" w:hAnsi="Verdana"/>
          <w:sz w:val="20"/>
        </w:rPr>
        <w:softHyphen/>
        <w:t>bursts as a by-product of that reconstruction’s hardship, of its straining muscle. After all, they were the National So</w:t>
      </w:r>
      <w:r w:rsidRPr="00CF7AB2">
        <w:rPr>
          <w:rStyle w:val="BodyTextChar"/>
          <w:rFonts w:ascii="Verdana" w:hAnsi="Verdana"/>
          <w:sz w:val="20"/>
        </w:rPr>
        <w:softHyphen/>
        <w:t>cialist Workers Party, and the swastika-clutching eagle could be seen as a provisional phoenix. Any one of these three reasons taken separately would be sufficient not to flee the premises; but the inertia of assimilation, of integration, lumped them all together. The general idea, I imagine, was to huddle together and wait until it all blew over.</w:t>
      </w:r>
    </w:p>
    <w:p w14:paraId="2A9AE0BC" w14:textId="77777777" w:rsidR="00B07EC9" w:rsidRPr="00CF7AB2" w:rsidRDefault="00B07EC9" w:rsidP="004359F4">
      <w:pPr>
        <w:suppressAutoHyphens/>
        <w:spacing w:after="0"/>
        <w:ind w:firstLine="283"/>
        <w:jc w:val="both"/>
        <w:rPr>
          <w:rFonts w:ascii="Verdana" w:hAnsi="Verdana"/>
          <w:sz w:val="20"/>
        </w:rPr>
      </w:pPr>
    </w:p>
    <w:p w14:paraId="12AC4638"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history is not a force of nature, if only because its toll is usually much higher. Correspondingly, one can take out no</w:t>
      </w:r>
      <w:r>
        <w:rPr>
          <w:rStyle w:val="BodyTextChar"/>
          <w:rFonts w:ascii="Verdana" w:hAnsi="Verdana"/>
          <w:sz w:val="20"/>
        </w:rPr>
        <w:t xml:space="preserve"> </w:t>
      </w:r>
      <w:r w:rsidRPr="00CF7AB2">
        <w:rPr>
          <w:rStyle w:val="BodyTextChar"/>
          <w:rFonts w:ascii="Verdana" w:hAnsi="Verdana"/>
          <w:sz w:val="20"/>
        </w:rPr>
        <w:t>insurance policy against history. Even the apprehensiveness of a people with a long record of persecution turned out to be a lousy premium: its funds were insufficient, at least for a Deutschebank. The claim submitted by both the doctrine of historical determinism and by the creed-sponsored mental climate of Providence’s general benevolence could be settled only in human flesh. Historical determinism translated itself into a determination of extermination; and the notion of Prov</w:t>
      </w:r>
      <w:r w:rsidRPr="00CF7AB2">
        <w:rPr>
          <w:rStyle w:val="BodyTextChar"/>
          <w:rFonts w:ascii="Verdana" w:hAnsi="Verdana"/>
          <w:sz w:val="20"/>
        </w:rPr>
        <w:softHyphen/>
        <w:t>idence’s general benevolence, into a patient waiting for a Storm Trooper. Wouldn’t it have been better to benefit less from civilization and become a nomad?</w:t>
      </w:r>
    </w:p>
    <w:p w14:paraId="760E957A"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dead would say yes, though one can’t be certain. The living will certainly cry, No! The ethical ambiguity of the latter response could be glossed over, were it not based on the false perception that what happened in the Third Reich was unique. It wasn’t. What took twelve years in Ger</w:t>
      </w:r>
      <w:r w:rsidRPr="00CF7AB2">
        <w:rPr>
          <w:rStyle w:val="BodyTextChar"/>
          <w:rFonts w:ascii="Verdana" w:hAnsi="Verdana"/>
          <w:sz w:val="20"/>
        </w:rPr>
        <w:softHyphen/>
        <w:t>many lasted for seventy in Russia, and the toll—in Jews and non-Jews—was almost exactly five times higher. With a little industry, one may presumably establish the same ratio for revolutionary China, Cambodia, Iran, Uganda, and so on: the ethnicity of human loss makes no difference. But if one is loath to continue with this line of reasoning, it is because the similarity is too obvious for one’s liking, and because it is too easy to commit the common methodological error of promoting this similarity to the rank of admissible evidence for a subsequent law.</w:t>
      </w:r>
    </w:p>
    <w:p w14:paraId="28895FEF"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only law of history, I am afraid, is chance. The more ordered the life of a society or an individual, the more chance gets elbowed out. The longer this goes on, the greater the accumulation of disfranchised chance, and the likelier, one would think, that chance will claim its own. One should not attribute a human property to an abstract idea, but “Re</w:t>
      </w:r>
      <w:r w:rsidRPr="00CF7AB2">
        <w:rPr>
          <w:rStyle w:val="BodyTextChar"/>
          <w:rFonts w:ascii="Verdana" w:hAnsi="Verdana"/>
          <w:sz w:val="20"/>
        </w:rPr>
        <w:softHyphen/>
        <w:t>member that the fire and the ice/Are never more than one step away/From a temperate city; it is/But a moment to</w:t>
      </w:r>
      <w:r>
        <w:rPr>
          <w:rStyle w:val="BodyTextChar"/>
          <w:rFonts w:ascii="Verdana" w:hAnsi="Verdana"/>
          <w:sz w:val="20"/>
        </w:rPr>
        <w:t xml:space="preserve"> </w:t>
      </w:r>
      <w:r w:rsidRPr="00CF7AB2">
        <w:rPr>
          <w:rStyle w:val="BodyTextChar"/>
          <w:rFonts w:ascii="Verdana" w:hAnsi="Verdana"/>
          <w:sz w:val="20"/>
        </w:rPr>
        <w:t>either,” said the poet, and we must heed this warning, now that the temperate city has grown too big.</w:t>
      </w:r>
    </w:p>
    <w:p w14:paraId="39321BFB"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the spelling out of the laws of history goes, this one is the closest. And if history is to be admitted into the ranks of science, which it craves, it should be aware of the nature of its inquiry. The truth about things, should it exist, is likely to have a very dark side. Given the humans’ status as new</w:t>
      </w:r>
      <w:r w:rsidRPr="00CF7AB2">
        <w:rPr>
          <w:rStyle w:val="BodyTextChar"/>
          <w:rFonts w:ascii="Verdana" w:hAnsi="Verdana"/>
          <w:sz w:val="20"/>
        </w:rPr>
        <w:softHyphen/>
        <w:t>comers, i.e., given the worlds precedence, the truth about things is bound to be unhuman. Thus any inquiry into that truth amounts to a solipsistic exercise, varying only in in</w:t>
      </w:r>
      <w:r w:rsidRPr="00CF7AB2">
        <w:rPr>
          <w:rStyle w:val="BodyTextChar"/>
          <w:rFonts w:ascii="Verdana" w:hAnsi="Verdana"/>
          <w:sz w:val="20"/>
        </w:rPr>
        <w:softHyphen/>
        <w:t xml:space="preserve">tensity and </w:t>
      </w:r>
      <w:r w:rsidRPr="00CF7AB2">
        <w:rPr>
          <w:rStyle w:val="BodyTextChar"/>
          <w:rFonts w:ascii="Verdana" w:hAnsi="Verdana"/>
          <w:sz w:val="20"/>
        </w:rPr>
        <w:lastRenderedPageBreak/>
        <w:t>industry. In this sense, scientific findings (not to mention the language to which they resort) that point toward human inconsequence are closer to that truth than the con</w:t>
      </w:r>
      <w:r w:rsidRPr="00CF7AB2">
        <w:rPr>
          <w:rStyle w:val="BodyTextChar"/>
          <w:rFonts w:ascii="Verdana" w:hAnsi="Verdana"/>
          <w:sz w:val="20"/>
        </w:rPr>
        <w:softHyphen/>
        <w:t>clusions of modern historians. Perhaps the invention of the atom bomb is closer to it than the invention of penicillin. Perhaps the same applies to any state-sponsored form of bestiality, particularly to wars and genocidal policies, as well as to spontaneous national and revolutionary movements. Without such awareness, history will remain a meaningless safari for historians of theological bent or theologians with historical proclivities, ascribing to their trophies a human likeness and a divine purpose. But humanity of inquiry is not likely to render its subject human.</w:t>
      </w:r>
    </w:p>
    <w:p w14:paraId="526842F3" w14:textId="77777777" w:rsidR="00B07EC9" w:rsidRPr="00CF7AB2" w:rsidRDefault="00B07EC9" w:rsidP="004359F4">
      <w:pPr>
        <w:suppressAutoHyphens/>
        <w:spacing w:after="0"/>
        <w:ind w:firstLine="283"/>
        <w:jc w:val="both"/>
        <w:rPr>
          <w:rFonts w:ascii="Verdana" w:hAnsi="Verdana"/>
          <w:sz w:val="20"/>
        </w:rPr>
      </w:pPr>
    </w:p>
    <w:p w14:paraId="04DD4B28"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best reason for being a nomad is not the fresh air but the escape from the rationalist theory of society based on the ra</w:t>
      </w:r>
      <w:r w:rsidRPr="00CF7AB2">
        <w:rPr>
          <w:rStyle w:val="BodyTextChar"/>
          <w:rFonts w:ascii="Verdana" w:hAnsi="Verdana"/>
          <w:sz w:val="20"/>
        </w:rPr>
        <w:softHyphen/>
        <w:t>tionalist interpretation of history, since the rationalist ap</w:t>
      </w:r>
      <w:r w:rsidRPr="00CF7AB2">
        <w:rPr>
          <w:rStyle w:val="BodyTextChar"/>
          <w:rFonts w:ascii="Verdana" w:hAnsi="Verdana"/>
          <w:sz w:val="20"/>
        </w:rPr>
        <w:softHyphen/>
        <w:t>proach to either is a blithely idealistic flight from human intuition. A nineteenth-century philosopher could afford it. You can’t. If one can’t become a nomad physically, one should at least become one mentally. You can’t save your skin, but you can try for your mind. One should read history the way one reads fiction: for the story, for the characters, for the setting. In short, for its diversity.</w:t>
      </w:r>
    </w:p>
    <w:p w14:paraId="38990011"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our minds we do not usually hook up Fabrizio del Dongo and Raskolnikov, David Copperfield and Natasha Rostova, Jean Valjean and Clelia Conti, though they belong to roughly the same period of the same century. We don’t do this because they are not related; and neither are cen</w:t>
      </w:r>
      <w:r w:rsidRPr="00CF7AB2">
        <w:rPr>
          <w:rStyle w:val="BodyTextChar"/>
          <w:rFonts w:ascii="Verdana" w:hAnsi="Verdana"/>
          <w:sz w:val="20"/>
        </w:rPr>
        <w:softHyphen/>
        <w:t>turies, except perhaps dynastically. History is essentially a vast library filled with works of fiction that vary in style more than in subject. Thinking of history in a larger manner is pregnant with our own self-aggrandizement; with readers billing themselves as authors. Cataloguing these volumes, let alone trying to link them to one another, can be done only at the expense of reading them; in any case, at the expense of our own wits.</w:t>
      </w:r>
    </w:p>
    <w:p w14:paraId="60A47167"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Besides, we read novels rather erratically; when they come our way, or vice versa. We are guided in this activity by our tastes as much as by the circumstances of our leisure. Which is to say, we are nomads in our reading. The same should apply to history. We should simply keep in mind that linear thinking, while it is </w:t>
      </w:r>
      <w:r w:rsidRPr="00CF7AB2">
        <w:rPr>
          <w:rStyle w:val="BodyTextChar"/>
          <w:rFonts w:ascii="Verdana" w:hAnsi="Verdana"/>
          <w:i/>
          <w:iCs/>
          <w:sz w:val="20"/>
          <w:lang w:eastAsia="fr-FR" w:bidi="fr-FR"/>
        </w:rPr>
        <w:t>de rigueur</w:t>
      </w:r>
      <w:r w:rsidRPr="00CF7AB2">
        <w:rPr>
          <w:rStyle w:val="BodyTextChar"/>
          <w:rFonts w:ascii="Verdana" w:hAnsi="Verdana"/>
          <w:sz w:val="20"/>
          <w:lang w:eastAsia="fr-FR" w:bidi="fr-FR"/>
        </w:rPr>
        <w:t xml:space="preserve"> </w:t>
      </w:r>
      <w:r w:rsidRPr="00CF7AB2">
        <w:rPr>
          <w:rStyle w:val="BodyTextChar"/>
          <w:rFonts w:ascii="Verdana" w:hAnsi="Verdana"/>
          <w:sz w:val="20"/>
        </w:rPr>
        <w:t>for the historian’s trade—a narrative device, a trope—it is, for his audience, a trap. It is awful to fall into the trap individually, but it is a catastrophe when it happens collectively.</w:t>
      </w:r>
    </w:p>
    <w:p w14:paraId="1F9F6578"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 individual, a nomadic individual especially, is more on the lookout for danger than the collectivity. The former can turn 360 degrees; the latter can look in only one direc</w:t>
      </w:r>
      <w:r w:rsidRPr="00CF7AB2">
        <w:rPr>
          <w:rStyle w:val="BodyTextChar"/>
          <w:rFonts w:ascii="Verdana" w:hAnsi="Verdana"/>
          <w:sz w:val="20"/>
        </w:rPr>
        <w:softHyphen/>
        <w:t>tion. One of the greatest joys of a nomad, of an individualist, is in structuring history in one’s own personal fashion—in cobbling one’s own antiquity, one’s own Middle Ages or Renaissance in a chronological or achronological, wholly idio</w:t>
      </w:r>
      <w:r w:rsidRPr="00CF7AB2">
        <w:rPr>
          <w:rStyle w:val="BodyTextChar"/>
          <w:rFonts w:ascii="Verdana" w:hAnsi="Verdana"/>
          <w:sz w:val="20"/>
        </w:rPr>
        <w:softHyphen/>
        <w:t>syncratic order: in making them one’s own. That is really the only way to inhabit the centuries.</w:t>
      </w:r>
    </w:p>
    <w:p w14:paraId="41047965"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 should remember that rationalism’s greatest ca</w:t>
      </w:r>
      <w:r w:rsidRPr="00CF7AB2">
        <w:rPr>
          <w:rStyle w:val="BodyTextChar"/>
          <w:rFonts w:ascii="Verdana" w:hAnsi="Verdana"/>
          <w:sz w:val="20"/>
        </w:rPr>
        <w:softHyphen/>
        <w:t>sualty was individualism. We should be careful with the supposedly dispassionate objectivity of our historians. For</w:t>
      </w:r>
      <w:r>
        <w:rPr>
          <w:rStyle w:val="BodyTextChar"/>
          <w:rFonts w:ascii="Verdana" w:hAnsi="Verdana"/>
          <w:sz w:val="20"/>
        </w:rPr>
        <w:t xml:space="preserve"> </w:t>
      </w:r>
      <w:r w:rsidRPr="00CF7AB2">
        <w:rPr>
          <w:rStyle w:val="BodyTextChar"/>
          <w:rFonts w:ascii="Verdana" w:hAnsi="Verdana"/>
          <w:sz w:val="20"/>
        </w:rPr>
        <w:t>objectivity does not mean indifference, nor does it mean an alternative to subjectivity. It is, rather, the sum total of subjectivities. As murderers, victims, or bystanders, men in the final analysis always act individually, subjectively; and they and their deeds should be judged likewise.</w:t>
      </w:r>
    </w:p>
    <w:p w14:paraId="63B1F87F" w14:textId="77777777" w:rsidR="00B07EC9" w:rsidRPr="00CF7AB2" w:rsidRDefault="00B07EC9" w:rsidP="004359F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robs us of a certitude, of course, but the less of that the better. Uncertainty keeps an individual on guard, and is generally less bloodthirsty. Of course, all too often, it makes him agonize. But it is better to agonize than to organize. On the whole, uncertainty is more true to life itself; the only certain thing about which is that we are present in it. Again, the main trait of history, and of the future, is our absence, and one cannot be certain of something one was never a part of.</w:t>
      </w:r>
    </w:p>
    <w:p w14:paraId="2E819CC8" w14:textId="3D97140D" w:rsidR="0035560E" w:rsidRDefault="00B07EC9" w:rsidP="00BE17B2">
      <w:pPr>
        <w:spacing w:after="0" w:line="240" w:lineRule="auto"/>
        <w:ind w:firstLine="284"/>
      </w:pPr>
      <w:r w:rsidRPr="00CF7AB2">
        <w:rPr>
          <w:rStyle w:val="BodyTextChar"/>
          <w:rFonts w:ascii="Verdana" w:hAnsi="Verdana"/>
          <w:sz w:val="20"/>
        </w:rPr>
        <w:lastRenderedPageBreak/>
        <w:t>Hence that vague look on the face of the Muse of Time. It is because so many eyes have stared at her with uncer</w:t>
      </w:r>
      <w:r w:rsidRPr="00CF7AB2">
        <w:rPr>
          <w:rStyle w:val="BodyTextChar"/>
          <w:rFonts w:ascii="Verdana" w:hAnsi="Verdana"/>
          <w:sz w:val="20"/>
        </w:rPr>
        <w:softHyphen/>
        <w:t>tainty. Also, because she has seen so much energy and com</w:t>
      </w:r>
      <w:r w:rsidRPr="00CF7AB2">
        <w:rPr>
          <w:rStyle w:val="BodyTextChar"/>
          <w:rFonts w:ascii="Verdana" w:hAnsi="Verdana"/>
          <w:sz w:val="20"/>
        </w:rPr>
        <w:softHyphen/>
        <w:t>motion, whose true end only she knows. And ultimately, because she knows that had she stared back openly, she would have rendered her suitors blind, and she is not without vanity. It is partly owing to this vanity, but mainly to the fact that she has nowhere else in this world to go, that on occasion, with that vague look on her face, she walks into our midst and makes us absent.</w:t>
      </w:r>
    </w:p>
    <w:sectPr w:rsidR="0035560E" w:rsidSect="0055314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A0721" w14:textId="77777777" w:rsidR="00584BDC" w:rsidRDefault="00584BDC" w:rsidP="004359F4">
      <w:pPr>
        <w:spacing w:after="0" w:line="240" w:lineRule="auto"/>
      </w:pPr>
      <w:r>
        <w:separator/>
      </w:r>
    </w:p>
  </w:endnote>
  <w:endnote w:type="continuationSeparator" w:id="0">
    <w:p w14:paraId="601863BF" w14:textId="77777777" w:rsidR="00584BDC" w:rsidRDefault="00584BDC" w:rsidP="00435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3AB92" w14:textId="77777777" w:rsidR="004359F4" w:rsidRDefault="004359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FC4F3" w14:textId="5012ACDB" w:rsidR="004359F4" w:rsidRPr="00553140" w:rsidRDefault="00553140">
    <w:pPr>
      <w:pStyle w:val="Footer"/>
      <w:rPr>
        <w:rFonts w:ascii="Arial" w:hAnsi="Arial" w:cs="Arial"/>
        <w:color w:val="999999"/>
        <w:sz w:val="20"/>
        <w:lang w:val="ru-RU"/>
      </w:rPr>
    </w:pPr>
    <w:r w:rsidRPr="00553140">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0430" w14:textId="77777777" w:rsidR="004359F4" w:rsidRDefault="004359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0E566" w14:textId="77777777" w:rsidR="00584BDC" w:rsidRDefault="00584BDC" w:rsidP="004359F4">
      <w:pPr>
        <w:spacing w:after="0" w:line="240" w:lineRule="auto"/>
      </w:pPr>
      <w:r>
        <w:separator/>
      </w:r>
    </w:p>
  </w:footnote>
  <w:footnote w:type="continuationSeparator" w:id="0">
    <w:p w14:paraId="7348DCF2" w14:textId="77777777" w:rsidR="00584BDC" w:rsidRDefault="00584BDC" w:rsidP="00435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FF58" w14:textId="77777777" w:rsidR="004359F4" w:rsidRDefault="004359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99516" w14:textId="72BA149F" w:rsidR="004359F4" w:rsidRPr="00553140" w:rsidRDefault="00553140">
    <w:pPr>
      <w:pStyle w:val="Header"/>
      <w:rPr>
        <w:rFonts w:ascii="Arial" w:hAnsi="Arial" w:cs="Arial"/>
        <w:color w:val="999999"/>
        <w:sz w:val="20"/>
        <w:lang w:val="ru-RU"/>
      </w:rPr>
    </w:pPr>
    <w:r w:rsidRPr="0055314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E893" w14:textId="77777777" w:rsidR="004359F4" w:rsidRDefault="00435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F625F"/>
    <w:rsid w:val="0015074B"/>
    <w:rsid w:val="0029639D"/>
    <w:rsid w:val="002B0999"/>
    <w:rsid w:val="00326F90"/>
    <w:rsid w:val="0035560E"/>
    <w:rsid w:val="004359F4"/>
    <w:rsid w:val="00526A56"/>
    <w:rsid w:val="00553140"/>
    <w:rsid w:val="00584BDC"/>
    <w:rsid w:val="00AA1D8D"/>
    <w:rsid w:val="00B07EC9"/>
    <w:rsid w:val="00B47730"/>
    <w:rsid w:val="00BE17B2"/>
    <w:rsid w:val="00C84171"/>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2C0973"/>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B07EC9"/>
    <w:rPr>
      <w:rFonts w:ascii="Times New Roman" w:eastAsia="Times New Roman" w:hAnsi="Times New Roman" w:cs="Times New Roman"/>
      <w:i/>
      <w:iCs/>
      <w:sz w:val="40"/>
      <w:szCs w:val="40"/>
    </w:rPr>
  </w:style>
  <w:style w:type="paragraph" w:customStyle="1" w:styleId="Heading11">
    <w:name w:val="Heading #1"/>
    <w:basedOn w:val="Normal"/>
    <w:link w:val="Heading10"/>
    <w:rsid w:val="00B07EC9"/>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8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7520</Words>
  <Characters>36703</Characters>
  <Application>Microsoft Office Word</Application>
  <DocSecurity>0</DocSecurity>
  <Lines>591</Lines>
  <Paragraphs>89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44134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Profile of Clio</dc:title>
  <dc:subject/>
  <dc:creator>Joseph Brodsky</dc:creator>
  <cp:keywords/>
  <dc:description/>
  <cp:lastModifiedBy>Andrey Piskunov</cp:lastModifiedBy>
  <cp:revision>10</cp:revision>
  <dcterms:created xsi:type="dcterms:W3CDTF">2013-12-23T23:15:00Z</dcterms:created>
  <dcterms:modified xsi:type="dcterms:W3CDTF">2026-06-30T03:31:00Z</dcterms:modified>
  <cp:category/>
</cp:coreProperties>
</file>